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KURSU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 akademicki 2024/2025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Kierunek: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Psychologia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Tryb prowadzenia studiów: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rtl w:val="0"/>
        </w:rPr>
        <w:t xml:space="preserve">stacjonarne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jednolite magisterskie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Rok: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(II) letni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7655"/>
        <w:tblGridChange w:id="0">
          <w:tblGrid>
            <w:gridCol w:w="1985"/>
            <w:gridCol w:w="765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Psychologia procesów poznawczych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 w j. ang.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Cognitive psychology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center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89"/>
        <w:gridCol w:w="3190"/>
        <w:gridCol w:w="3261"/>
        <w:tblGridChange w:id="0">
          <w:tblGrid>
            <w:gridCol w:w="3189"/>
            <w:gridCol w:w="3190"/>
            <w:gridCol w:w="3261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dr Joanna Ganczarek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dr Agnieszka Fudali-Czyż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000000" w:space="0" w:sz="0" w:val="nil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kursu (cele kształcenia)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20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Celem kursu jest zapoznanie studentów z podstawowymi teoriami oraz metodologią badań w obszarze procesów poznawczych. Studenci zdobędą wiedzę na temat zarówno klasycznych, jak i współczesnych wersji teorii opisujących procesy poznawcze. Ponadto nabędą podstawowe umiejętności konstruowania eksperymentów w paradygmacie poznawczym oraz krytycznego analizowania metodologii i wyników badań empirycznych. 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 wstępne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79"/>
        <w:gridCol w:w="5296"/>
        <w:gridCol w:w="2365"/>
        <w:tblGridChange w:id="0">
          <w:tblGrid>
            <w:gridCol w:w="1979"/>
            <w:gridCol w:w="5296"/>
            <w:gridCol w:w="23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W_01. Student posiada podstawową wiedzę na temat teorii opisujących funkcjonowanie procesów poznawczych człowieka.</w:t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W_02. Student dysponuje wiedzą na temat konstruowania i ewaluacji eksperymentów w obrębie psychologii procesów poznawczych.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W_03. Student zna relacje między psychologią poznawczą a neuronauką i kognitywistyką.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  <w:t xml:space="preserve">K_W06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418" w:lineRule="auto"/>
              <w:ind w:right="405"/>
              <w:rPr/>
            </w:pPr>
            <w:r w:rsidDel="00000000" w:rsidR="00000000" w:rsidRPr="00000000">
              <w:rPr>
                <w:rtl w:val="0"/>
              </w:rPr>
              <w:t xml:space="preserve">K_W03</w:t>
            </w:r>
          </w:p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779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6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U_01. Potrafi formułować problemy badawcze, hipotezy w oparciu o metody badawcze właściwe dla psychologii poznawczej. 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U_02. Potrafi przeprowadzić eksperyment mający na celu badanie procesów poznawczych z wykorzystaniem podstawowej aparatury i oprogramowania. </w:t>
            </w:r>
          </w:p>
          <w:p w:rsidR="00000000" w:rsidDel="00000000" w:rsidP="00000000" w:rsidRDefault="00000000" w:rsidRPr="00000000" w14:paraId="0000005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U_03. Potrafi poprawnie analizować wyniki eksperymentów w kontekście teorii oraz argumentować wnioski w oparciu o wiedzę z obszaru psychologii poznawczej.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K_U01</w:t>
            </w:r>
          </w:p>
          <w:p w:rsidR="00000000" w:rsidDel="00000000" w:rsidP="00000000" w:rsidRDefault="00000000" w:rsidRPr="00000000" w14:paraId="000000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K_U02</w:t>
            </w:r>
          </w:p>
          <w:p w:rsidR="00000000" w:rsidDel="00000000" w:rsidP="00000000" w:rsidRDefault="00000000" w:rsidRPr="00000000" w14:paraId="0000005E">
            <w:pPr>
              <w:widowControl w:val="0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85"/>
        <w:gridCol w:w="5245"/>
        <w:gridCol w:w="2410"/>
        <w:tblGridChange w:id="0">
          <w:tblGrid>
            <w:gridCol w:w="1985"/>
            <w:gridCol w:w="5245"/>
            <w:gridCol w:w="2410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Efekt uczenia się dla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Odniesienie do efektów kierunkowych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4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K_01. Jest świadomy konieczności krytycznej ewaluacji własnych działań i podejmowania nowych wyzwań. </w:t>
            </w:r>
          </w:p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K_02. Ma świadomość wagi ciągłego kształcenia oraz doskonalenia własnych umiejętności. </w:t>
            </w:r>
          </w:p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K_03. Ponosi odpowiedzialność za swoje działania i ma świadomość kwestii etycznych związanych z prowadzeniem badań.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K_K01</w:t>
            </w:r>
          </w:p>
          <w:p w:rsidR="00000000" w:rsidDel="00000000" w:rsidP="00000000" w:rsidRDefault="00000000" w:rsidRPr="00000000" w14:paraId="00000070">
            <w:pPr>
              <w:widowControl w:val="0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K_K02</w:t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1.999999999998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609"/>
        <w:gridCol w:w="1224"/>
        <w:gridCol w:w="849"/>
        <w:gridCol w:w="272"/>
        <w:gridCol w:w="861"/>
        <w:gridCol w:w="315"/>
        <w:gridCol w:w="819"/>
        <w:gridCol w:w="283"/>
        <w:gridCol w:w="850"/>
        <w:gridCol w:w="283"/>
        <w:gridCol w:w="850"/>
        <w:gridCol w:w="283"/>
        <w:gridCol w:w="850"/>
        <w:gridCol w:w="284"/>
        <w:tblGridChange w:id="0">
          <w:tblGrid>
            <w:gridCol w:w="1609"/>
            <w:gridCol w:w="1224"/>
            <w:gridCol w:w="849"/>
            <w:gridCol w:w="272"/>
            <w:gridCol w:w="861"/>
            <w:gridCol w:w="315"/>
            <w:gridCol w:w="819"/>
            <w:gridCol w:w="283"/>
            <w:gridCol w:w="850"/>
            <w:gridCol w:w="283"/>
            <w:gridCol w:w="850"/>
            <w:gridCol w:w="283"/>
            <w:gridCol w:w="850"/>
            <w:gridCol w:w="284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14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25.0" w:type="dxa"/>
              <w:bottom w:w="80.0" w:type="dxa"/>
              <w:right w:w="217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45" w:right="13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metod prowadzenia zajęć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Kurs odbywa się w trybie stacjonarnym. </w:t>
            </w:r>
          </w:p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Wykłady: prezentacja multimedialna, dyskusja w grupie.</w:t>
            </w:r>
          </w:p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Ćwiczenia: Zajęcia prowadzone są w oparciu o prezentacje multimedialne, dyskusję w grupie oraz pracę warsztatową w obrębie której studenci biorą udział w krótkich eksperymentach, symulacjach bardziej złożonych procedur eksperymentalnych oraz pracy z tekstem. Studenci przygotowują projekt grupowy (quiz na dane zajęcia).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Formy sprawdzania efektów uczenia się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1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"/>
        <w:gridCol w:w="665"/>
        <w:gridCol w:w="66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  <w:tblGridChange w:id="0">
          <w:tblGrid>
            <w:gridCol w:w="962"/>
            <w:gridCol w:w="665"/>
            <w:gridCol w:w="667"/>
            <w:gridCol w:w="666"/>
            <w:gridCol w:w="666"/>
            <w:gridCol w:w="666"/>
            <w:gridCol w:w="666"/>
            <w:gridCol w:w="666"/>
            <w:gridCol w:w="666"/>
            <w:gridCol w:w="564"/>
            <w:gridCol w:w="769"/>
            <w:gridCol w:w="666"/>
            <w:gridCol w:w="666"/>
            <w:gridCol w:w="666"/>
          </w:tblGrid>
        </w:tblGridChange>
      </w:tblGrid>
      <w:tr>
        <w:trPr>
          <w:cantSplit w:val="0"/>
          <w:trHeight w:val="15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–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w szkole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laboratoryjna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indywidualny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grupowy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Udział w dyskusji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Praca pisemna (esej)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ustny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Egzamin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193.0" w:type="dxa"/>
              <w:bottom w:w="80.0" w:type="dxa"/>
              <w:right w:w="193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83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Egzamin testowy z pytaniami otwartymi (ocena pozytywna = 60% + 1pkt) w formie stacjonarnej.</w:t>
            </w:r>
          </w:p>
          <w:p w:rsidR="00000000" w:rsidDel="00000000" w:rsidP="00000000" w:rsidRDefault="00000000" w:rsidRPr="00000000" w14:paraId="00000163">
            <w:pPr>
              <w:widowControl w:val="0"/>
              <w:spacing w:after="57" w:before="57" w:lineRule="auto"/>
              <w:rPr/>
            </w:pPr>
            <w:r w:rsidDel="00000000" w:rsidR="00000000" w:rsidRPr="00000000">
              <w:rPr>
                <w:rtl w:val="0"/>
              </w:rPr>
              <w:t xml:space="preserve">Zaliczenie ćwiczeń: poprawne wykonanie projektu grupowego (quizu), aktywny udział w zajęciach (systematyczne zapoznawanie się z literaturą, aktywne słuchanie, uczestnictwo w symulacjach eksperymentów), zaliczenie dwóch kolokwiów. Obecność na ćwiczeniach jest obowiązkowa (dopuszczalne max 2 nieobecności). </w:t>
            </w:r>
          </w:p>
          <w:p w:rsidR="00000000" w:rsidDel="00000000" w:rsidP="00000000" w:rsidRDefault="00000000" w:rsidRPr="00000000" w14:paraId="000001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 ocenę końcową z przedmiotu składa się praca na ćwiczeniach (50%) oraz ocena z egzaminu (50%). 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Studenci mają możliwość uzyskania dodatkowych punktów doliczanych do surowego wyniku punktowego z egzaminu.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  <w:t xml:space="preserve"> 2 punkty za uzyskanie najwyższego w grupie wyniku z kolokwium</w:t>
            </w:r>
          </w:p>
          <w:p w:rsidR="00000000" w:rsidDel="00000000" w:rsidP="00000000" w:rsidRDefault="00000000" w:rsidRPr="00000000" w14:paraId="00000167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  <w:t xml:space="preserve"> 2 punkty za udział w wybranym eksperymencie. W przypadku udziału w eksperymentach prowadzonych przez pracowników Instytutu Psychologii UKEN nie potrzebne jest zaświadczenie, jedynie informacja o tym kto był kierownikiem projektu i że za udział w danym eksperymencie punkty są przypisane do egzaminu z psychologii procesów poznawczych. Informację taką należy przekazać do koordynatora kursu w  postaci wiadomości na MS Teams.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UWAGA: Dodatkowe punkty za udział w eksperymencie są przyznawane wyłącznie za udział w eksperymencie </w:t>
            </w:r>
            <w:r w:rsidDel="00000000" w:rsidR="00000000" w:rsidRPr="00000000">
              <w:rPr>
                <w:i w:val="1"/>
                <w:rtl w:val="0"/>
              </w:rPr>
              <w:t xml:space="preserve">on site</w:t>
            </w:r>
            <w:r w:rsidDel="00000000" w:rsidR="00000000" w:rsidRPr="00000000">
              <w:rPr>
                <w:rtl w:val="0"/>
              </w:rPr>
              <w:t xml:space="preserve">, w laboratorium, nie online. Nie ma możliwości przypisania punktów za udział w badaniu wyłącznie metodą kwestionariuszową. Można doliczyć punkty za wyłącznie jeden eksperyment do egzaminu. Nie ma możliwości zmiany przypisania punktów do egzaminu z innego przedmiotu ani też wymiany z innymi studentami. Udział w eksperymencie jest honorowany do dnia poprzedzającego egzamin z przedmiotu.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941"/>
        <w:gridCol w:w="7699"/>
        <w:tblGridChange w:id="0">
          <w:tblGrid>
            <w:gridCol w:w="1941"/>
            <w:gridCol w:w="7699"/>
          </w:tblGrid>
        </w:tblGridChange>
      </w:tblGrid>
      <w:tr>
        <w:trPr>
          <w:cantSplit w:val="0"/>
          <w:trHeight w:val="929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Uwagi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Przedmiot kierunkowy na studiach niestacjonarnych, jednolitych magisterskich, kierunek: Psychologia.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Treści merytoryczne (wykaz tematów)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76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Wykład (20h): 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Wprowadzenie do psychologii poznawczej i podstawy metodologii badań. 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Percepcja  - percepcja i wrażenia. Percepcja ruchu i głębi. Główne teorie percepcji.  Czynniki oddolne i odgórne w percepcji wzrokowej.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Pamięć - rodzaje pamięci. Blokowe i procesualne modele pamięci. Pamięć robocza. Pamięć utajona i pamięć proceduralna. 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Czynności pamięciowe - zapamiętywanie, zapominanie, przechowywanie informacji. </w:t>
            </w:r>
          </w:p>
          <w:p w:rsidR="00000000" w:rsidDel="00000000" w:rsidP="00000000" w:rsidRDefault="00000000" w:rsidRPr="00000000" w14:paraId="0000017A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Kontrola poznawcza - teorie kontroli poznawczej. Kontrola poznawcza a procesy automatyczne. Zadanie Stroopa i jego warianty. 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Uwaga - uwaga selektywna, przeszukiwanie pola percepcyjnego. Przerzutność i podzielność uwagi. Czujność. Teorie detekcji sygnału. Teorie uwagi (Broadbent, Treisman, Posner; teoria elastycznego filtra uwagi). Zadanie ANT. 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Świadomość - świadomość a przytomność. Zaburzenia świadomości. 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Myślenie - rodzaje myślenia, teorie myślenia. Heurystyki i algorytmy. Poznawcze aspekty myślenia dedukcyjnego, indukcyjnego, rozwiązywania sylogizmów, rozumowania nieformalnego, probabilistycznego. Rozwiązywanie problemów - teorie rozwiązywania problemów. Typy problemów. Pojęcie wglądu. Efekt nastawienia, fiksacja funkcjonalna. 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Podejmowanie decyzji - główne teorie podejmowania decyzji. Strategie w podejmowaniu decyzji. Tendencyjność w podejmowaniu decyzji i wydawaniu sądów. 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Reprezentacje umysłowe - pojęcie reprezentacji umysłowych. Teorie wyobraźni (Kosslyn, Paivio, Phylyshyn). Stanowisko enaktywne. Współczesne badania nad wyobraźnią wzrokową. Pojęcia - typy pojęć. Główne teorie (teoria klasyczna, probabilistyczna, prototypów i egzemplarzy). </w:t>
            </w:r>
          </w:p>
          <w:p w:rsidR="00000000" w:rsidDel="00000000" w:rsidP="00000000" w:rsidRDefault="00000000" w:rsidRPr="00000000" w14:paraId="00000180">
            <w:pPr>
              <w:spacing w:after="160"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Ćwiczenia (20h):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Specyfika psychologii poznawczej. Metody badawcze w psychologii poznawczej. Główne miary wykorzystywane w testach poznawczych. 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Percepcja  - czynniki oddolne i odgórne. Iluzje wzrokowe. Podstawowe pojęcia związane z ruchami oczu. Percepcja scen i czytanie tekstu. </w:t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Pamięć  -  Natura pamięci. Systemy pamięci przemijającej. Pojemność, czas przechowywania oraz sposób kodowania informacji w pamięci. Pamięć robocza i jej komponenty. Systemy pamięci trwałej. Sposób organizacji informacji w pamięci trwałej. Poziom przetwarzania informacji a efektywność zapamiętywania. 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Czynności pamięciowe - mnemotechniki. Reminiscencja. Interferencja pro- i retroaktywna. 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Kontrola poznawcza - zasady konstrukcji zadań mierzących kontrolę poznawczą. Procesy kontrolowane i automatyczne. 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Uwaga - Aspekty uwagi - zadania poznawcze ilustrujące uwagę selektywną, przeszukiwanie pola percepcyjnego, czujność, podzielność i przerzutność. Zjawisko ślepoty uwagowej. Wykorzystanie teorii detekcji sygnału w praktyce.  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Świadomość - Pamięć utajona. Procedura prymowania i jej odmiany. </w:t>
            </w:r>
          </w:p>
          <w:p w:rsidR="00000000" w:rsidDel="00000000" w:rsidP="00000000" w:rsidRDefault="00000000" w:rsidRPr="00000000" w14:paraId="0000018A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Myślenie - rozdzaje myślenia i rozumowania. Tendencyjność w rozumowaniu. Rozwiązywanie problemów. Analiza heurystyk i algorytmów wykorzystywanych w rozwiązywania problemów. Rozwiązywanie problemów twórczych. </w:t>
            </w:r>
          </w:p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Podejmowanie decyzji. Strategie decyzyjne oraz tendencyjność w wydawaniu sądów. </w:t>
            </w:r>
          </w:p>
          <w:p w:rsidR="00000000" w:rsidDel="00000000" w:rsidP="00000000" w:rsidRDefault="00000000" w:rsidRPr="00000000" w14:paraId="0000018C">
            <w:pPr>
              <w:numPr>
                <w:ilvl w:val="0"/>
                <w:numId w:val="1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Reprezentacje umysłowe. Spór o naturę reprezentacji umysłowych. Pojęcie afantazji. Pojęcia. Badania nad “klipcami”. Struktura przestrzeni semantycznej. Identyfikacja prototypów. </w:t>
            </w:r>
          </w:p>
          <w:p w:rsidR="00000000" w:rsidDel="00000000" w:rsidP="00000000" w:rsidRDefault="00000000" w:rsidRPr="00000000" w14:paraId="0000018D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podstawowej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38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numPr>
                <w:ilvl w:val="0"/>
                <w:numId w:val="3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Nęcka, E., Orzechowski, J., Szymura, B., i Wichary, S. (2020). Psychologia poznawcza. PWN (Rozdział 1 str. 21-54 , Rozdział 2 str. 57-91, Rozdział 3 str. 92-126, Rozdział 5 str. 167-210, Rozdział 6 str. 218-258,  Rozdział 7 str. 259-297, Rozdział 8 str. 298-349, Rozdział 9 str. 350-394, Rozdział 10 str. 397-457, Rozdział 11 str. 458-519, Rozdział 12 str. 512-559)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Jagodzińska, M. (2008). Psychologia pamięci: badania, teorie, zastosowania. Helion. (R11, str. 345-373)</w:t>
            </w:r>
          </w:p>
        </w:tc>
      </w:tr>
    </w:tbl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Wykaz literatury uzupełniającej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622"/>
        <w:tblGridChange w:id="0">
          <w:tblGrid>
            <w:gridCol w:w="9622"/>
          </w:tblGrid>
        </w:tblGridChange>
      </w:tblGrid>
      <w:tr>
        <w:trPr>
          <w:cantSplit w:val="0"/>
          <w:trHeight w:val="952" w:hRule="atLeast"/>
          <w:tblHeader w:val="0"/>
        </w:trPr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Baddeley, A. (1998). Pamięć. Poradnik użytkownika. Prószyński i S-ka.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Baddeley, A. D., Thomson, N., &amp; Buchanan, M. (1975). Word length and the structure of working memory. </w:t>
            </w:r>
            <w:r w:rsidDel="00000000" w:rsidR="00000000" w:rsidRPr="00000000">
              <w:rPr>
                <w:i w:val="1"/>
                <w:rtl w:val="0"/>
              </w:rPr>
              <w:t xml:space="preserve">Journal of Verbal Learning and Verbal Behavior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  <w:t xml:space="preserve">(6), 575–589. https://pdfs.semanticscholar.org/b470/cbb6c7c235f670bb63601da7c9d853219718.pdf</w:t>
            </w:r>
          </w:p>
          <w:p w:rsidR="00000000" w:rsidDel="00000000" w:rsidP="00000000" w:rsidRDefault="00000000" w:rsidRPr="00000000" w14:paraId="0000019E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Biederman, I., Mezzanotte, R. J., &amp; Rabinowitz, J. C. (1982). Scene perception: Detecting and judging objects undergoing relational violations. </w:t>
            </w:r>
            <w:r w:rsidDel="00000000" w:rsidR="00000000" w:rsidRPr="00000000">
              <w:rPr>
                <w:i w:val="1"/>
                <w:rtl w:val="0"/>
              </w:rPr>
              <w:t xml:space="preserve">Cognitive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  <w:t xml:space="preserve">(2), 143–177. https://doi.org/10.1016/0010-0285(82)90007-X</w:t>
            </w:r>
          </w:p>
          <w:p w:rsidR="00000000" w:rsidDel="00000000" w:rsidP="00000000" w:rsidRDefault="00000000" w:rsidRPr="00000000" w14:paraId="0000019F">
            <w:pPr>
              <w:numPr>
                <w:ilvl w:val="0"/>
                <w:numId w:val="4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Duch, W. (2003). Neurokognitywna teoria świadomości. Studia z kognitywistyki i filozofii umysłu (red. W. Dziarnowska i A. Klawiter), 1, 133-154</w:t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4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Francuz, P. (2007). Obrazy w umyśle: studia nad percepcją i wyobraźnią. Scholar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4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Jagodzińska, M. (2008). Psychologia pamięci. Badania, teorie, zastosowania. Gliwice: Wydawnictwo HELION.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4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Jaracz, M., Borkowska, A. (2010). Podejmowanie decyzji w świetle badań neurobiologicznych i teorii psychologicznych. Psychiatria, 7(2), 68-73.</w:t>
            </w:r>
          </w:p>
          <w:p w:rsidR="00000000" w:rsidDel="00000000" w:rsidP="00000000" w:rsidRDefault="00000000" w:rsidRPr="00000000" w14:paraId="000001A3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Kahneman, D., Szymczak, P., Tversky, A. (2012). Pułapki myślenia: O myśleniu szybkim i wolnym. Media Rodzina.</w:t>
            </w:r>
          </w:p>
          <w:p w:rsidR="00000000" w:rsidDel="00000000" w:rsidP="00000000" w:rsidRDefault="00000000" w:rsidRPr="00000000" w14:paraId="000001A4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Kahneman, D., Treisman, A., &amp; Gibbs, B. J. (2018). The reviewing of object files: Object-specific integration of information. </w:t>
            </w:r>
            <w:r w:rsidDel="00000000" w:rsidR="00000000" w:rsidRPr="00000000">
              <w:rPr>
                <w:i w:val="1"/>
                <w:rtl w:val="0"/>
              </w:rPr>
              <w:t xml:space="preserve">Human Perception: Institutional Performance and Reform in Australia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219</w:t>
            </w:r>
            <w:r w:rsidDel="00000000" w:rsidR="00000000" w:rsidRPr="00000000">
              <w:rPr>
                <w:rtl w:val="0"/>
              </w:rPr>
              <w:t xml:space="preserve">, 265–309. https://doi.org/10.4324/9781351156288-27</w:t>
            </w:r>
          </w:p>
          <w:p w:rsidR="00000000" w:rsidDel="00000000" w:rsidP="00000000" w:rsidRDefault="00000000" w:rsidRPr="00000000" w14:paraId="000001A5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Król, M., &amp; Król, M. (2019). The world as we know it and the world as it is: Eye-movement patterns reveal decreased use of prior knowledge in individuals with autism. </w:t>
            </w:r>
            <w:r w:rsidDel="00000000" w:rsidR="00000000" w:rsidRPr="00000000">
              <w:rPr>
                <w:i w:val="1"/>
                <w:rtl w:val="0"/>
              </w:rPr>
              <w:t xml:space="preserve">Autism Research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(9), 1386–1398. https://doi.org/10.1002/aur.2133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Lichtenstein, S., Slovic, P., Fischhoff, B., Layman, M., &amp; Combs, B. (1978). Judged frequency of lethal events. </w:t>
            </w:r>
            <w:r w:rsidDel="00000000" w:rsidR="00000000" w:rsidRPr="00000000">
              <w:rPr>
                <w:i w:val="1"/>
                <w:rtl w:val="0"/>
              </w:rPr>
              <w:t xml:space="preserve">Journal of Experimental Psychology: Human Learning and Memory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(6), 551–578. https://doi.org/10.1037/0278-7393.4.6.551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Mendelsohn, G. A., &amp; Griswold, B. B. (1964). Differential use of incidental stimuli in problem solving as a function of creativity. </w:t>
            </w:r>
            <w:r w:rsidDel="00000000" w:rsidR="00000000" w:rsidRPr="00000000">
              <w:rPr>
                <w:i w:val="1"/>
                <w:rtl w:val="0"/>
              </w:rPr>
              <w:t xml:space="preserve">Journal of Abnormal and Social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  <w:t xml:space="preserve">(4), 431–436. https://doi.org/10.1037/h0040166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Milner, A. D., Goodale, M. A. (2008). Mózg wzrokowy w działaniu. Wydawnictwo Naukowe PWN.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Miyake, A., Friedman, N. P., Emerson, M. J., Witzki, A. H., Howerter, A., &amp; Wager, T. D. (2000). The Unity and Diversity of Executive Functions and Their Contributions to Complex “Frontal Lobe” Tasks: A Latent Variable Analysis. </w:t>
            </w:r>
            <w:r w:rsidDel="00000000" w:rsidR="00000000" w:rsidRPr="00000000">
              <w:rPr>
                <w:i w:val="1"/>
                <w:rtl w:val="0"/>
              </w:rPr>
              <w:t xml:space="preserve">Cognitive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  <w:t xml:space="preserve">(1), 49–100. https://doi.org/10.1006/cogp.1999.0734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Morrow, L. A., &amp; Ratcliff, G. (1988). The disengagement of covert attention and the neglect syndrome. </w:t>
            </w:r>
            <w:r w:rsidDel="00000000" w:rsidR="00000000" w:rsidRPr="00000000">
              <w:rPr>
                <w:i w:val="1"/>
                <w:rtl w:val="0"/>
              </w:rPr>
              <w:t xml:space="preserve">Psychobiology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  <w:t xml:space="preserve">(3), 261–269. https://doi.org/10.3758/BF03327316</w:t>
            </w:r>
          </w:p>
          <w:p w:rsidR="00000000" w:rsidDel="00000000" w:rsidP="00000000" w:rsidRDefault="00000000" w:rsidRPr="00000000" w14:paraId="000001AB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Nagamine, M., Yoshino, A., Miyazaki, M., Takahashi, Y., &amp; Nomura, S. (2009). Difference in binocular rivalry rate between patients with bipolar I and bipolar II disorders. </w:t>
            </w:r>
            <w:r w:rsidDel="00000000" w:rsidR="00000000" w:rsidRPr="00000000">
              <w:rPr>
                <w:i w:val="1"/>
                <w:rtl w:val="0"/>
              </w:rPr>
              <w:t xml:space="preserve">Bipolar Disorders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(5), 539–546. https://doi.org/10.1111/j.1399-5618.2009.00719.x</w:t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Nęcka, E. (2012). Psychologia twórczości. GWP.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Posner, M. I. (1980). Orienting of attention. </w:t>
            </w:r>
            <w:r w:rsidDel="00000000" w:rsidR="00000000" w:rsidRPr="00000000">
              <w:rPr>
                <w:i w:val="1"/>
                <w:rtl w:val="0"/>
              </w:rPr>
              <w:t xml:space="preserve">The Quarterly Journal of Experimental Psychology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  <w:t xml:space="preserve">(1), 3–25. https://doi.org/10.1080/00335558008248231</w:t>
            </w:r>
          </w:p>
          <w:p w:rsidR="00000000" w:rsidDel="00000000" w:rsidP="00000000" w:rsidRDefault="00000000" w:rsidRPr="00000000" w14:paraId="000001AE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Posner, M. I. (1999). Uwaga. Mechanizmy swiadomosci. W: Z. Chlewinski (wybór i red. naukowa), Modele umysłu (zbiór tekstów). Warszawa: Wydawnictwo Naukowe PWN. </w:t>
            </w:r>
          </w:p>
          <w:p w:rsidR="00000000" w:rsidDel="00000000" w:rsidP="00000000" w:rsidRDefault="00000000" w:rsidRPr="00000000" w14:paraId="000001AF">
            <w:pPr>
              <w:numPr>
                <w:ilvl w:val="0"/>
                <w:numId w:val="4"/>
              </w:numPr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Rips, L. J., Shoben, E. J., &amp; Smith, E. E. (1973). Semantic distance and the verification of semantic relations. </w:t>
            </w:r>
            <w:r w:rsidDel="00000000" w:rsidR="00000000" w:rsidRPr="00000000">
              <w:rPr>
                <w:i w:val="1"/>
                <w:rtl w:val="0"/>
              </w:rPr>
              <w:t xml:space="preserve">Journal of Verbal Learning and Verbal Behavior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(1), 1–20. https://doi.org/10.1016/S0022-5371(73)80056-8</w:t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4"/>
              </w:numPr>
              <w:spacing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Schneider, W., &amp; Shiffrin, R. M. (1977). Controlled and automatic human information processing: I. Detection, search, and attention. </w:t>
            </w:r>
            <w:r w:rsidDel="00000000" w:rsidR="00000000" w:rsidRPr="00000000">
              <w:rPr>
                <w:i w:val="1"/>
                <w:rtl w:val="0"/>
              </w:rPr>
              <w:t xml:space="preserve">Psychological Review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  <w:t xml:space="preserve">(1), 1–66.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https://doi.org/10.1037/0033-295X.84.1.1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4"/>
              </w:numPr>
              <w:spacing w:after="160" w:line="259" w:lineRule="auto"/>
              <w:ind w:left="1080" w:hanging="720"/>
              <w:rPr/>
            </w:pPr>
            <w:r w:rsidDel="00000000" w:rsidR="00000000" w:rsidRPr="00000000">
              <w:rPr>
                <w:rtl w:val="0"/>
              </w:rPr>
              <w:t xml:space="preserve">Sperling, G. (1960). The information available in brief visual presentations. </w:t>
            </w:r>
            <w:r w:rsidDel="00000000" w:rsidR="00000000" w:rsidRPr="00000000">
              <w:rPr>
                <w:i w:val="1"/>
                <w:rtl w:val="0"/>
              </w:rPr>
              <w:t xml:space="preserve">Psychological Monographs: General and Applied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  <w:t xml:space="preserve">(11), 1–29. </w:t>
            </w: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https://doi.org/10.1037/h0093759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Bilans godzinowy zgodny z CNPS (Całkowity Nakład Pracy Studenta)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766"/>
        <w:gridCol w:w="5750"/>
        <w:gridCol w:w="1066"/>
        <w:tblGridChange w:id="0">
          <w:tblGrid>
            <w:gridCol w:w="2766"/>
            <w:gridCol w:w="5750"/>
            <w:gridCol w:w="1066"/>
          </w:tblGrid>
        </w:tblGridChange>
      </w:tblGrid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w kontakcie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Konwersatorium, ćwiczenia, laboratorium,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Pozostałe godziny kontaktu studenta z prowadzącym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restart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godzin pracy studenta bez kontaktu z prowadzącymi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Lektura w ramach przygotowania do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krótkiej pracy pisemnej lub referatu po zapoznaniu się z niezbędną literaturą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projektu lub prezentacji na podany temat (praca w grupie)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Przygotowanie do egzaminu/zaliczenia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Ogółem bilans czasu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150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dbe5f1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 punktów ECTS w zależności od przyjętego przelicznika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5b3d7" w:space="0" w:sz="4" w:val="single"/>
              <w:left w:color="95b3d7" w:space="0" w:sz="4" w:val="single"/>
              <w:bottom w:color="95b3d7" w:space="0" w:sz="4" w:val="single"/>
              <w:right w:color="95b3d7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0" w:orient="portrait"/>
      <w:pgMar w:bottom="1134" w:top="1276" w:left="1134" w:right="1134" w:header="45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5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opka">
    <w:name w:val="Stopka"/>
    <w:next w:val="Stopka"/>
    <w:pPr>
      <w:keepNext w:val="0"/>
      <w:keepLines w:val="0"/>
      <w:pageBreakBefore w:val="0"/>
      <w:widowControl w:val="0"/>
      <w:shd w:color="auto" w:fill="auto" w:val="clear"/>
      <w:tabs>
        <w:tab w:val="center" w:pos="4536"/>
        <w:tab w:val="right" w:pos="9072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120" w:before="240" w:line="240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center"/>
      <w:outlineLvl w:val="0"/>
    </w:pPr>
    <w:rPr>
      <w:rFonts w:ascii="Verdana" w:cs="Arial Unicode MS" w:eastAsia="Arial Unicode MS" w:hAnsi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ahoma" w:cs="Arial Unicode MS" w:eastAsia="Arial Unicode MS" w:hAnsi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37/0033-295X.84.1.1" TargetMode="External"/><Relationship Id="rId8" Type="http://schemas.openxmlformats.org/officeDocument/2006/relationships/hyperlink" Target="https://doi.org/10.1037/h009375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/VGRyBSxJIMg4QLPd83CMJzrA==">CgMxLjAyCGguZ2pkZ3hzOAByITFEN1Z3dzRucGd5cHcxdTV1bkNmTENsUFMwTXNVaWlURw==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