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>KARTA KURSU</w:t>
      </w:r>
    </w:p>
    <w:p>
      <w:pPr>
        <w:pStyle w:val="Normalny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jc w:val="center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>rok akademicki 2024/2025</w:t>
      </w:r>
    </w:p>
    <w:p>
      <w:pPr>
        <w:pStyle w:val="Normalny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Kierunek: </w:t>
      </w:r>
      <w:r>
        <w:rPr>
          <w:rFonts w:ascii="Arial" w:hAnsi="Arial"/>
          <w:lang w:val="pl-PL"/>
        </w:rPr>
        <w:t>Psychologia</w:t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Tryb prowadzenia studiów: </w:t>
      </w:r>
      <w:r>
        <w:rPr>
          <w:rFonts w:eastAsia="Arial" w:cs="Arial" w:ascii="Arial" w:hAnsi="Arial"/>
          <w:b w:val="false"/>
          <w:bCs w:val="false"/>
          <w:sz w:val="24"/>
          <w:szCs w:val="24"/>
          <w:lang w:val="pl-PL"/>
        </w:rPr>
        <w:t>stacjonarne</w:t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Stopień: </w:t>
      </w:r>
      <w:r>
        <w:rPr>
          <w:rFonts w:ascii="Arial" w:hAnsi="Arial"/>
          <w:lang w:val="pl-PL"/>
        </w:rPr>
        <w:t>studia</w:t>
      </w:r>
      <w:r>
        <w:rPr>
          <w:rFonts w:ascii="Arial" w:hAnsi="Arial"/>
          <w:b/>
          <w:bCs/>
          <w:sz w:val="24"/>
          <w:szCs w:val="24"/>
          <w:lang w:val="pl-PL"/>
        </w:rPr>
        <w:t xml:space="preserve"> </w:t>
      </w:r>
      <w:r>
        <w:rPr>
          <w:rFonts w:ascii="Arial" w:hAnsi="Arial"/>
          <w:lang w:val="pl-PL"/>
        </w:rPr>
        <w:t>jednolite magisterskie</w:t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Rok: </w:t>
      </w:r>
      <w:r>
        <w:rPr>
          <w:rFonts w:eastAsia="Arial" w:cs="Arial" w:ascii="Arial" w:hAnsi="Arial"/>
          <w:b w:val="false"/>
          <w:bCs w:val="false"/>
          <w:sz w:val="24"/>
          <w:szCs w:val="24"/>
          <w:lang w:val="pl-PL"/>
        </w:rPr>
        <w:t>II</w:t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Semestr: </w:t>
      </w:r>
      <w:r>
        <w:rPr>
          <w:rFonts w:ascii="Arial" w:hAnsi="Arial"/>
          <w:lang w:val="pl-PL"/>
        </w:rPr>
        <w:t xml:space="preserve"> (</w:t>
      </w:r>
      <w:r>
        <w:rPr>
          <w:rFonts w:ascii="Arial" w:hAnsi="Arial"/>
          <w:lang w:val="pl-PL"/>
        </w:rPr>
        <w:t>3</w:t>
      </w:r>
      <w:r>
        <w:rPr>
          <w:rFonts w:ascii="Arial" w:hAnsi="Arial"/>
          <w:lang w:val="pl-PL"/>
        </w:rPr>
        <w:t>)</w:t>
      </w:r>
    </w:p>
    <w:p>
      <w:pPr>
        <w:pStyle w:val="Normalny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84"/>
        <w:gridCol w:w="7655"/>
      </w:tblGrid>
      <w:tr>
        <w:trPr>
          <w:trHeight w:val="235" w:hRule="atLeast"/>
        </w:trPr>
        <w:tc>
          <w:tcPr>
            <w:tcW w:w="19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Klasyczne teorie osobowości</w:t>
            </w:r>
          </w:p>
        </w:tc>
      </w:tr>
      <w:tr>
        <w:trPr>
          <w:trHeight w:val="219" w:hRule="atLeast"/>
        </w:trPr>
        <w:tc>
          <w:tcPr>
            <w:tcW w:w="19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Classic theories of personality</w:t>
            </w:r>
          </w:p>
        </w:tc>
      </w:tr>
    </w:tbl>
    <w:p>
      <w:pPr>
        <w:pStyle w:val="Normalny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jc w:val="center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</w:r>
    </w:p>
    <w:tbl>
      <w:tblPr>
        <w:tblW w:w="964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188"/>
        <w:gridCol w:w="3190"/>
        <w:gridCol w:w="3262"/>
      </w:tblGrid>
      <w:tr>
        <w:trPr>
          <w:trHeight w:val="218" w:hRule="atLeast"/>
        </w:trPr>
        <w:tc>
          <w:tcPr>
            <w:tcW w:w="318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dr Radosław Stupak</w:t>
            </w:r>
          </w:p>
        </w:tc>
        <w:tc>
          <w:tcPr>
            <w:tcW w:w="32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Zespół dydaktyczny</w:t>
            </w:r>
          </w:p>
        </w:tc>
      </w:tr>
      <w:tr>
        <w:trPr>
          <w:trHeight w:val="184" w:hRule="atLeast"/>
        </w:trPr>
        <w:tc>
          <w:tcPr>
            <w:tcW w:w="3188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190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262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dr Radosław Stupak</w:t>
            </w:r>
          </w:p>
        </w:tc>
      </w:tr>
      <w:tr>
        <w:trPr>
          <w:trHeight w:val="218" w:hRule="atLeast"/>
        </w:trPr>
        <w:tc>
          <w:tcPr>
            <w:tcW w:w="3188" w:type="dxa"/>
            <w:tcBorders>
              <w:top w:val="single" w:sz="2" w:space="0" w:color="95B3D7"/>
              <w:bottom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190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262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18" w:hRule="atLeast"/>
        </w:trPr>
        <w:tc>
          <w:tcPr>
            <w:tcW w:w="318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262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jc w:val="center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</w:r>
    </w:p>
    <w:p>
      <w:pPr>
        <w:pStyle w:val="Normalny"/>
        <w:jc w:val="center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Opis kursu (cele kształcenia)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40"/>
      </w:tblGrid>
      <w:tr>
        <w:trPr>
          <w:trHeight w:val="1205" w:hRule="atLeast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Celem kursu jest zapoznanie studentów z klasycznymi ujęciami osobowości człowieka („wielkie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teorie”). Przedstawione zostaną różne odpowiedzi na pytania o genezę, strukturę, dynamikę i rozwój osobowości.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Warunki wstępne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40"/>
        <w:gridCol w:w="7699"/>
      </w:tblGrid>
      <w:tr>
        <w:trPr>
          <w:trHeight w:val="718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ny"/>
              <w:rPr>
                <w:rFonts w:ascii="Arial" w:hAnsi="Arial" w:eastAsia="Arial" w:cs="Arial"/>
                <w:sz w:val="22"/>
                <w:szCs w:val="22"/>
                <w:shd w:fill="auto" w:val="clear"/>
                <w:lang w:val="pl-PL"/>
              </w:rPr>
            </w:pPr>
            <w:r>
              <w:rPr>
                <w:rFonts w:eastAsia="Arial" w:cs="Arial" w:ascii="Arial" w:hAnsi="Arial"/>
                <w:sz w:val="22"/>
                <w:szCs w:val="22"/>
                <w:shd w:fill="auto" w:val="clear"/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lang w:val="pl-PL"/>
        </w:rPr>
      </w:r>
      <w:r>
        <w:br w:type="page"/>
      </w:r>
    </w:p>
    <w:p>
      <w:pPr>
        <w:pStyle w:val="Normalny"/>
        <w:spacing w:before="0" w:after="0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Efekty uczenia się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79"/>
        <w:gridCol w:w="5296"/>
        <w:gridCol w:w="2365"/>
      </w:tblGrid>
      <w:tr>
        <w:trPr>
          <w:trHeight w:val="770" w:hRule="atLeast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Odniesienie do efektów kierunkowych</w:t>
            </w:r>
          </w:p>
        </w:tc>
      </w:tr>
      <w:tr>
        <w:trPr>
          <w:trHeight w:val="1678" w:hRule="atLeast"/>
        </w:trPr>
        <w:tc>
          <w:tcPr>
            <w:tcW w:w="1979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W_01 Zna i rozumie główne idee, pojęcia i koncepcje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prezentowane w ramach psychologii osobowości.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W_02 Posiada wiedzę o rozwoju osobowości w ujęciu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klasycznych teorii osobowości.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W_03 Zna i rozumie koncepcje nieświadomości, potrzeb,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emocji i motywacji prezentowane w klasycznych nurtach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psychologii osobowości.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K_W02, K_W04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K_W01, K_W02, K_W04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K_W01, K_W02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84"/>
        <w:gridCol w:w="5246"/>
        <w:gridCol w:w="2410"/>
      </w:tblGrid>
      <w:tr>
        <w:trPr>
          <w:trHeight w:val="779" w:hRule="atLeast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Umiejętności</w:t>
            </w:r>
          </w:p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Odniesienie do efektów kierunkowych</w:t>
            </w:r>
          </w:p>
        </w:tc>
      </w:tr>
      <w:tr>
        <w:trPr>
          <w:trHeight w:val="1956" w:hRule="atLeast"/>
        </w:trPr>
        <w:tc>
          <w:tcPr>
            <w:tcW w:w="1984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U_01. Potrafi przedstawić genezę i kontekst społeczno-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kulturowy rozwoju klasycznych podejść badawczych w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psychologii osobowości.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U_02. Potrafi przedstawić i poddać krytycznej analizie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dawne koncepcje psychologiczne, ocenić ich wkład we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współczesną psychologię osobowości oraz odnieść je do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obecnego stanu wiedzy na temat psychologii człowieka.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U_03. Umie interpretować zachowania człowieka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odnosząc je do różnych teorii osobowości.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K_U02, K_U05, K_U06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K_U02, K_U05, K_U06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K_U06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84"/>
        <w:gridCol w:w="5246"/>
        <w:gridCol w:w="2410"/>
      </w:tblGrid>
      <w:tr>
        <w:trPr>
          <w:trHeight w:val="640" w:hRule="atLeast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Kompetencje społeczne</w:t>
            </w:r>
          </w:p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Odniesienie do efektów kierunkowych</w:t>
            </w:r>
          </w:p>
        </w:tc>
      </w:tr>
      <w:tr>
        <w:trPr>
          <w:trHeight w:val="1824" w:hRule="atLeast"/>
        </w:trPr>
        <w:tc>
          <w:tcPr>
            <w:tcW w:w="1984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K_01. Aktywnie kształtuje swoje zasoby osobowościowe,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dba o rozwój i etykę pracy zawodu psychologa.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K_02. Podejmuje różne formy komunikacji i współpracy z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otoczeniem poprzez podejmowanie działań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indywidualnych i zespołowych mających na celu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realizację pomocy psychologicznej.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K_03. Radzi sobie z problemami, rozwija siebie i wspiera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rozwój innych wykorzystując wiedzę z zakresu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psychologii osobowości.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K_K02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K_K02, K_K03, K_K04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K_K05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32" w:type="dxa"/>
        <w:jc w:val="left"/>
        <w:tblInd w:w="109" w:type="dxa"/>
        <w:tblLayout w:type="fixed"/>
        <w:tblCellMar>
          <w:top w:w="80" w:type="dxa"/>
          <w:left w:w="125" w:type="dxa"/>
          <w:bottom w:w="80" w:type="dxa"/>
          <w:right w:w="217" w:type="dxa"/>
        </w:tblCellMar>
      </w:tblPr>
      <w:tblGrid>
        <w:gridCol w:w="1608"/>
        <w:gridCol w:w="1224"/>
        <w:gridCol w:w="850"/>
        <w:gridCol w:w="271"/>
        <w:gridCol w:w="862"/>
        <w:gridCol w:w="315"/>
        <w:gridCol w:w="818"/>
        <w:gridCol w:w="283"/>
        <w:gridCol w:w="851"/>
        <w:gridCol w:w="282"/>
        <w:gridCol w:w="851"/>
        <w:gridCol w:w="283"/>
        <w:gridCol w:w="849"/>
        <w:gridCol w:w="284"/>
      </w:tblGrid>
      <w:tr>
        <w:trPr>
          <w:trHeight w:val="320" w:hRule="atLeast"/>
        </w:trPr>
        <w:tc>
          <w:tcPr>
            <w:tcW w:w="9631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ind w:hanging="0" w:left="45" w:right="13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Organizacja</w:t>
            </w:r>
          </w:p>
        </w:tc>
      </w:tr>
      <w:tr>
        <w:trPr>
          <w:trHeight w:val="550" w:hRule="atLeast"/>
        </w:trPr>
        <w:tc>
          <w:tcPr>
            <w:tcW w:w="160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Forma zajęć</w:t>
            </w:r>
          </w:p>
        </w:tc>
        <w:tc>
          <w:tcPr>
            <w:tcW w:w="1224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Wykład</w:t>
            </w:r>
          </w:p>
          <w:p>
            <w:pPr>
              <w:pStyle w:val="Zawartotabeli"/>
              <w:bidi w:val="0"/>
              <w:spacing w:before="57" w:after="57"/>
              <w:ind w:hanging="0" w:left="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(W)</w:t>
            </w:r>
          </w:p>
        </w:tc>
        <w:tc>
          <w:tcPr>
            <w:tcW w:w="6799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Ćwiczenia w grupach</w:t>
            </w:r>
          </w:p>
        </w:tc>
      </w:tr>
      <w:tr>
        <w:trPr>
          <w:trHeight w:val="373" w:hRule="atLeast"/>
        </w:trPr>
        <w:tc>
          <w:tcPr>
            <w:tcW w:w="1608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224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A</w:t>
            </w:r>
          </w:p>
        </w:tc>
        <w:tc>
          <w:tcPr>
            <w:tcW w:w="2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1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S</w:t>
            </w:r>
          </w:p>
        </w:tc>
        <w:tc>
          <w:tcPr>
            <w:tcW w:w="28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395" w:hRule="atLeast"/>
        </w:trPr>
        <w:tc>
          <w:tcPr>
            <w:tcW w:w="16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Liczba godzin</w:t>
            </w:r>
          </w:p>
        </w:tc>
        <w:tc>
          <w:tcPr>
            <w:tcW w:w="122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112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0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358" w:hRule="atLeast"/>
        </w:trPr>
        <w:tc>
          <w:tcPr>
            <w:tcW w:w="16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45</w:t>
            </w:r>
          </w:p>
        </w:tc>
        <w:tc>
          <w:tcPr>
            <w:tcW w:w="122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2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0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Opis metod prowadzenia zajęć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1760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Kurs odbywa się stacjonarnie.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Wykład: wykład z wykorzystaniem filmów edukacyjnych i innych mediów.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Ćwiczenia: analiza literatury, omówienie wybranych koncepcji/zagadnień z zakresu psychologii osobowości, dyskusja grupowa.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Formy sprawdzania efektów uczenia się</w:t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1" w:type="dxa"/>
        <w:jc w:val="left"/>
        <w:tblInd w:w="108" w:type="dxa"/>
        <w:tblLayout w:type="fixed"/>
        <w:tblCellMar>
          <w:top w:w="80" w:type="dxa"/>
          <w:left w:w="193" w:type="dxa"/>
          <w:bottom w:w="80" w:type="dxa"/>
          <w:right w:w="193" w:type="dxa"/>
        </w:tblCellMar>
      </w:tblPr>
      <w:tblGrid>
        <w:gridCol w:w="962"/>
        <w:gridCol w:w="664"/>
        <w:gridCol w:w="667"/>
        <w:gridCol w:w="667"/>
        <w:gridCol w:w="666"/>
        <w:gridCol w:w="665"/>
        <w:gridCol w:w="666"/>
        <w:gridCol w:w="667"/>
        <w:gridCol w:w="666"/>
        <w:gridCol w:w="564"/>
        <w:gridCol w:w="768"/>
        <w:gridCol w:w="667"/>
        <w:gridCol w:w="666"/>
        <w:gridCol w:w="665"/>
      </w:tblGrid>
      <w:tr>
        <w:trPr>
          <w:trHeight w:val="15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 – learning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Gry dydaktyczne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Zajęcia terenowe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Projekt indywidualny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Referat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Praca pisemna (esej)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Egzamin pisemny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Inne</w:t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BalloonText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W01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W02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</w:t>
            </w: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3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U01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U02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</w:t>
            </w: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3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K01</w:t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5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5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K02</w:t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5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5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</w:t>
            </w: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3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40"/>
        <w:gridCol w:w="7699"/>
      </w:tblGrid>
      <w:tr>
        <w:trPr>
          <w:trHeight w:val="832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</w:tcPr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>Ćwiczenia:</w:t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>obecność (dozwolona jedna nieobecność), aktywność na zajęciach.</w:t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>Za aktywność na zajęciach można uzyskać maksymalnie 5 pkt. doliczanych do oceny z egzaminu.</w:t>
            </w:r>
          </w:p>
          <w:p>
            <w:pPr>
              <w:pStyle w:val="Zawartotabeli"/>
              <w:spacing w:before="57" w:after="57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>Wykład:</w:t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>Egzamin testowy. Ocena pozytywna od 60%+1 pkt.</w:t>
            </w:r>
          </w:p>
          <w:p>
            <w:pPr>
              <w:pStyle w:val="Zawartotabeli"/>
              <w:spacing w:before="57" w:after="57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lang w:val="pl-PL"/>
              </w:rPr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40"/>
        <w:gridCol w:w="7699"/>
      </w:tblGrid>
      <w:tr>
        <w:trPr>
          <w:trHeight w:val="929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spacing w:before="0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</w:tcPr>
          <w:p>
            <w:pPr>
              <w:pStyle w:val="Styltabeli2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bidi w:val="0"/>
              <w:ind w:hanging="0" w:left="0" w:right="0"/>
              <w:jc w:val="left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Styltabeli2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bidi w:val="0"/>
              <w:ind w:hanging="0" w:left="0" w:right="0"/>
              <w:jc w:val="left"/>
              <w:rPr>
                <w:lang w:val="pl-PL"/>
              </w:rPr>
            </w:pPr>
            <w:r>
              <w:rPr>
                <w:rFonts w:ascii="Arial" w:hAnsi="Arial"/>
                <w:u w:val="none" w:color="000000"/>
                <w:lang w:val="pl-PL"/>
                <w14:textOutline w14:w="12700" w14:cap="flat">
                  <w14:noFill/>
                  <w14:miter w14:lim="400000"/>
                </w14:textOutline>
              </w:rPr>
              <w:t>Przedmiot kierunkowy na studiach stacjonarnych, jednolitych magisterskich, kierunek: Psychologia.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Treści merytoryczne (wykaz tematów)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976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Wykład: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1. Osobowość – kontekst historyczny.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2. Osobowość – kontekst społeczny.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3. Osobowość – kontekst kulturowy.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4</w:t>
            </w:r>
            <w:r>
              <w:rPr>
                <w:lang w:val="pl-PL"/>
              </w:rPr>
              <w:t xml:space="preserve">. Psychologia osobowości </w:t>
            </w:r>
            <w:r>
              <w:rPr>
                <w:lang w:val="pl-PL"/>
              </w:rPr>
              <w:t>a nauka i psychologia jako nauka.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5</w:t>
            </w:r>
            <w:r>
              <w:rPr>
                <w:lang w:val="pl-PL"/>
              </w:rPr>
              <w:t>. Psychoanaliza Freuda.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6</w:t>
            </w:r>
            <w:r>
              <w:rPr>
                <w:lang w:val="pl-PL"/>
              </w:rPr>
              <w:t>. Psychologia analityczna Junga.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7</w:t>
            </w:r>
            <w:r>
              <w:rPr>
                <w:lang w:val="pl-PL"/>
              </w:rPr>
              <w:t>. Psychologia indywidualna Adlera 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8</w:t>
            </w:r>
            <w:r>
              <w:rPr>
                <w:lang w:val="pl-PL"/>
              </w:rPr>
              <w:t>. Koncepcje psychospołeczne: Horney i Sullivan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9</w:t>
            </w:r>
            <w:r>
              <w:rPr>
                <w:lang w:val="pl-PL"/>
              </w:rPr>
              <w:t>. Koncepcje psychospołeczne: Fromm.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10</w:t>
            </w:r>
            <w:r>
              <w:rPr>
                <w:lang w:val="pl-PL"/>
              </w:rPr>
              <w:t xml:space="preserve">. Ego, self, </w:t>
            </w:r>
            <w:r>
              <w:rPr>
                <w:lang w:val="pl-PL"/>
              </w:rPr>
              <w:t xml:space="preserve">obiekt, </w:t>
            </w:r>
            <w:r>
              <w:rPr>
                <w:lang w:val="pl-PL"/>
              </w:rPr>
              <w:t>relacja: Anna Freud, Klein, Kohut i in.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</w:t>
            </w:r>
            <w:r>
              <w:rPr>
                <w:lang w:val="pl-PL"/>
              </w:rPr>
              <w:t>1</w:t>
            </w:r>
            <w:r>
              <w:rPr>
                <w:lang w:val="pl-PL"/>
              </w:rPr>
              <w:t>. Rozwój i przywiązanie: Erikson i Bowlby.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</w:t>
            </w:r>
            <w:r>
              <w:rPr>
                <w:lang w:val="pl-PL"/>
              </w:rPr>
              <w:t>2</w:t>
            </w:r>
            <w:r>
              <w:rPr>
                <w:lang w:val="pl-PL"/>
              </w:rPr>
              <w:t>. Personologia Murraya.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</w:t>
            </w:r>
            <w:r>
              <w:rPr>
                <w:lang w:val="pl-PL"/>
              </w:rPr>
              <w:t>3</w:t>
            </w:r>
            <w:r>
              <w:rPr>
                <w:lang w:val="pl-PL"/>
              </w:rPr>
              <w:t>. Koncepcje humanistyczne, egzystencjalne i poza nie.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Ćwiczenia: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1. Sigmunt Freud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2. Anna Freud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3. Fritz Perls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4. Erich Fromm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5. Karen Horney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6. Carl Jung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7. Stanislav Grof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Wykaz literatury podstawowej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938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Odpowiednie rozdziały: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Hall, C.S., Lindzey, G. &amp; Campbell, J.B. (2013). Teorie osobowości: Wydanie nowe. PWN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Oleś, P.K. (2022). Wprowadzenie do psychologii osobowości: wydanie nowe. Scholar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Gasiul, H. (2020). Psychologia osobowości: Nurty, teorie, koncepcje. Difin.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Ćwiczenia: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Freud, S. (2005). Poza zasadą przyjemności. PWN (s. 93-122)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Freud, A. (2004). Ego i mechanizmy obronne. PWN (s. 17-20, 101-124)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Perls, F. S. (2019). Terapia gestalt. PWN (Mowa III, Mowa IV)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Fromm, E. (2021). Zerwać okowy iluzji: Moje spotkania z myślą Freuda i Marksa. Vis-a-vis. (s. 53-83)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Horney, K. (2022). Neurotyczna osobowość naszych czasów. Rebis (Rozdział 1, 2, 5)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Jung, C. G. (1995). Podstawy psychologii analitycznej: wykłady tavistockie. Wrota. (Wykład II)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Grof, S. (2010). Poza mózg: narodziny, śmierć i transcendencja w psychoterapii. Wydawnictwo A. (Rozdział 2)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Wykaz literatury uzupełniającej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952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Cervone, D., Pervin, L.A. (2011). Osobowość. Teoria i badania. (wydanie 10). Kraków: Wydawnictwo UJ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Gałdowa, A. (1999). Klasyczne i współczesne koncepcje osobowości. WUJ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Corr, P. J., &amp; Matthews, G. (Eds.). (2020). The Cambridge handbook of personality psychology. (2nd ed.) Cambridge University Press.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John, O. P., &amp; Robins, R. W. (2021). Handbook of personality: Theory and research (4rd ed). Gu</w:t>
            </w:r>
            <w:r>
              <w:rPr>
                <w:lang w:val="pl-PL"/>
              </w:rPr>
              <w:t>i</w:t>
            </w:r>
            <w:r>
              <w:rPr>
                <w:lang w:val="pl-PL"/>
              </w:rPr>
              <w:t>lford Press.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McAdams, D. P., Shiner, R. L., &amp; Tackett, J. L. (Eds.). (2019). Handbook of personality develop</w:t>
            </w:r>
            <w:r>
              <w:rPr>
                <w:lang w:val="pl-PL"/>
              </w:rPr>
              <w:t>m</w:t>
            </w:r>
            <w:r>
              <w:rPr>
                <w:lang w:val="pl-PL"/>
              </w:rPr>
              <w:t>ent. The Guilford Press.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Weiner, I. B., &amp; Greene, R. L. (2017). Handbook of personality assessment (Second edition). John Wiley &amp; Sons, Inc.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Taylor, E. (2000). “What is man, psychologist, that thou art so unmindful of him? ”: Henry </w:t>
            </w:r>
            <w:r>
              <w:rPr>
                <w:lang w:val="pl-PL"/>
              </w:rPr>
              <w:t>A</w:t>
            </w:r>
            <w:r>
              <w:rPr>
                <w:lang w:val="pl-PL"/>
              </w:rPr>
              <w:t>. Murray on the historical relation between classical personality theory and humanistic psychology. Journal of Humanistic Psychology, 40(3), 29–42. https://doi.org/10.1177/0022167800403003</w:t>
              <w:br/>
              <w:t>McCrae, R. R. (2011). Personality theories for the 21st century. Teaching of Psychology, 38(3), 209–214. https://doi.org/10.1177/0098628311411785</w:t>
              <w:br/>
              <w:t>Graff, A. (2024). Jak ryby w wodzie. Kultura terapii i jej krytycy. Er(r)Go. Teoria - Literatura - Kultura, 48, 331–349. https://doi.org/10.31261/errgo.15035</w:t>
              <w:br/>
              <w:t>Masson, J. M. (2012). Against therapy: Emotional tyranny and the myth of psychological healing. Untreed Reads.</w:t>
              <w:br/>
              <w:t>Masson, J. M. (2003). The assault on truth: Freud’s suppression of the seduction theory ([New edition].). Ballantine Books.</w:t>
              <w:br/>
              <w:t>Davies, J. (2021). Sedated: How modern capitalism created our mental health crisis. Atlantic Books.</w:t>
              <w:br/>
              <w:t>Stupak, R. (2021). Przez kwasową psychiatrię do kwasowego komunizmu. Renesans psychodeliczny w psychiatrii jako szansa na zmianę paradygmatu. Praktyka Teoretyczna, 40(2), 123–176. https://doi.org/10.14746/prt.2021.2.6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Curtis, A. (2002). The century of the self. BBC</w:t>
            </w:r>
            <w:r>
              <w:rPr>
                <w:lang w:val="pl-PL"/>
              </w:rPr>
              <w:br/>
              <w:t>C. G. Jung. (</w:t>
            </w:r>
            <w:r>
              <w:rPr>
                <w:lang w:val="pl-PL"/>
              </w:rPr>
              <w:t>1916</w:t>
            </w:r>
            <w:r>
              <w:rPr>
                <w:lang w:val="pl-PL"/>
              </w:rPr>
              <w:t xml:space="preserve">). </w:t>
            </w:r>
            <w:r>
              <w:rPr>
                <w:lang w:val="pl-PL"/>
              </w:rPr>
              <w:t xml:space="preserve">Septem sermones ad mortuos: Siedem nauk dla zmarłych. Napisane przez Bazylidesa w Aleksandrii, mieście, gdzie Wschód dotyka Zachodu. </w:t>
            </w:r>
            <w:r>
              <w:rPr>
                <w:lang w:val="pl-PL"/>
              </w:rPr>
              <w:t>Retrieved October 19, 2024, from http://www.gnosis.art.pl/e_gnosis/opowiesci_wizjonerskie/jung_septem_sermones.htm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BalloonText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BalloonText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Bilans godzinowy zgodny z CNPS (Całkowity Nakład Pracy Studenta)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58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766"/>
        <w:gridCol w:w="5749"/>
        <w:gridCol w:w="1067"/>
      </w:tblGrid>
      <w:tr>
        <w:trPr>
          <w:trHeight w:val="223" w:hRule="atLeast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/>
              <w:spacing w:lineRule="auto" w:line="276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liczba godzin w kontakcie z prowadzącymi</w:t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Wykład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</w:tr>
      <w:tr>
        <w:trPr>
          <w:trHeight w:val="223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Konwersatorium, ćwiczenia, laboratorium, itd.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Pozostałe godziny kontaktu studenta z prowadzącym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23" w:hRule="atLeast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/>
              <w:spacing w:lineRule="auto" w:line="276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liczba godzin pracy studenta bez kontaktu z prowadzącymi</w:t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Lektura w ramach przygotowania do zajęć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</w:tr>
      <w:tr>
        <w:trPr>
          <w:trHeight w:val="550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Przygotowanie krótkiej pracy pisemnej lub referatu po zapoznaniu się z niezbędną literaturą przedmiotu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</w:tr>
      <w:tr>
        <w:trPr>
          <w:trHeight w:val="571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Przygotowanie projektu lub prezentacji na podany temat (praca w grupie)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</w:tr>
      <w:tr>
        <w:trPr>
          <w:trHeight w:val="223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Przygotowanie do egzaminu/zaliczenia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>
        <w:trPr>
          <w:trHeight w:val="223" w:hRule="atLeast"/>
        </w:trPr>
        <w:tc>
          <w:tcPr>
            <w:tcW w:w="851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Ogółem bilans czasu pracy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32" w:hRule="atLeast"/>
        </w:trPr>
        <w:tc>
          <w:tcPr>
            <w:tcW w:w="851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Liczba punktów ECTS w zależności od przyjętego przelicznika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</w:tr>
    </w:tbl>
    <w:p>
      <w:pPr>
        <w:pStyle w:val="Normalny"/>
        <w:rPr>
          <w:lang w:val="pl-PL"/>
        </w:rPr>
      </w:pPr>
      <w:r>
        <w:rPr>
          <w:lang w:val="pl-PL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gutter="0" w:header="454" w:top="1276" w:footer="709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Helvetica Neue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lang w:val="pl-PL"/>
      </w:rPr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>
      <w:rPr>
        <w:lang w:val="pl-PL"/>
      </w:rPr>
      <w:t>6</w:t>
    </w:r>
    <w:r>
      <w:rPr>
        <w:lang w:val="pl-PL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>
        <w:lang w:val="pl-PL"/>
      </w:rPr>
    </w:pPr>
    <w:r>
      <w:rPr>
        <w:lang w:val="pl-P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>
        <w:lang w:val="pl-PL"/>
      </w:rPr>
    </w:pPr>
    <w:r>
      <w:rPr>
        <w:lang w:val="pl-PL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spacing w:before="240" w:after="120"/>
      <w:jc w:val="right"/>
      <w:rPr>
        <w:lang w:val="pl-PL"/>
      </w:rPr>
    </w:pPr>
    <w:r>
      <w:rPr>
        <w:lang w:val="pl-PL"/>
      </w:rPr>
    </w:r>
  </w:p>
</w:hdr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eastAsia="en-US" w:bidi="ar-SA" w:val="pl-PL"/>
    </w:rPr>
  </w:style>
  <w:style w:type="paragraph" w:styleId="Heading1">
    <w:name w:val="Heading 1"/>
    <w:next w:val="Normalny"/>
    <w:qFormat/>
    <w:pPr>
      <w:keepNext w:val="tru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center"/>
      <w:outlineLvl w:val="0"/>
    </w:pPr>
    <w:rPr>
      <w:rFonts w:ascii="Verdana" w:hAnsi="Verdan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Nagwek">
    <w:name w:val="Nagłówek"/>
    <w:qFormat/>
    <w:pPr>
      <w:keepNext w:val="tru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240" w:afterAutospacing="0" w:after="120"/>
      <w:ind w:hanging="0" w:left="0" w:right="0"/>
      <w:jc w:val="left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 w:val="false"/>
      <w:pBdr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Zawartotabeli">
    <w:name w:val="Zawartość tabeli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BalloonText">
    <w:name w:val="Balloon Text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ahoma" w:hAnsi="Tahom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16"/>
      <w:sz w:val="16"/>
      <w:szCs w:val="16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Styltabeli2">
    <w:name w:val="Styl tabeli 2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basedOn w:val="Gwkaistopka"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392</TotalTime>
  <Application>LibreOffice/7.6.6.3$Windows_X86_64 LibreOffice_project/d97b2716a9a4a2ce1391dee1765565ea469b0ae7</Application>
  <AppVersion>15.0000</AppVersion>
  <Pages>6</Pages>
  <Words>1014</Words>
  <Characters>6434</Characters>
  <CharactersWithSpaces>7255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2024-10-19T23:52:48Z</dcterms:modified>
  <cp:revision>9</cp:revision>
  <dc:subject/>
  <dc:title/>
</cp:coreProperties>
</file>