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KARTA KURSU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jc w:val="center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rok akademicki 2024/2025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Kierunek: </w:t>
      </w:r>
      <w:r>
        <w:rPr>
          <w:rFonts w:ascii="Arial" w:hAnsi="Arial"/>
          <w:lang w:val="pl-PL"/>
        </w:rPr>
        <w:t>Psychologia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Tryb prowadzenia studiów: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pl-PL"/>
        </w:rPr>
        <w:t>stacjonarne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Stopień: </w:t>
      </w:r>
      <w:r>
        <w:rPr>
          <w:rFonts w:ascii="Arial" w:hAnsi="Arial"/>
          <w:lang w:val="pl-PL"/>
        </w:rPr>
        <w:t>studia</w:t>
      </w:r>
      <w:r>
        <w:rPr>
          <w:rFonts w:ascii="Arial" w:hAnsi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/>
          <w:lang w:val="pl-PL"/>
        </w:rPr>
        <w:t>jednolite magisterskie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Rok: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pl-PL"/>
        </w:rPr>
        <w:t>III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Semestr: </w:t>
      </w:r>
      <w:r>
        <w:rPr>
          <w:rFonts w:ascii="Arial" w:hAnsi="Arial"/>
          <w:lang w:val="pl-PL"/>
        </w:rPr>
        <w:t>(5)</w:t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1"/>
        <w:gridCol w:w="7658"/>
      </w:tblGrid>
      <w:tr>
        <w:trPr>
          <w:trHeight w:val="235" w:hRule="atLeast"/>
        </w:trPr>
        <w:tc>
          <w:tcPr>
            <w:tcW w:w="19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</w:t>
            </w:r>
          </w:p>
        </w:tc>
        <w:tc>
          <w:tcPr>
            <w:tcW w:w="76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Pomoc psychologiczna dzieciom i młodzieży</w:t>
            </w:r>
          </w:p>
        </w:tc>
      </w:tr>
      <w:tr>
        <w:trPr>
          <w:trHeight w:val="219" w:hRule="atLeast"/>
        </w:trPr>
        <w:tc>
          <w:tcPr>
            <w:tcW w:w="19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 w j. ang.</w:t>
            </w:r>
          </w:p>
        </w:tc>
        <w:tc>
          <w:tcPr>
            <w:tcW w:w="76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Psychological help for children and adolescents</w:t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86"/>
        <w:gridCol w:w="3189"/>
        <w:gridCol w:w="3265"/>
      </w:tblGrid>
      <w:tr>
        <w:trPr>
          <w:trHeight w:val="218" w:hRule="atLeast"/>
        </w:trPr>
        <w:tc>
          <w:tcPr>
            <w:tcW w:w="318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Koordynator</w:t>
            </w:r>
          </w:p>
        </w:tc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  <w:tc>
          <w:tcPr>
            <w:tcW w:w="326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Zespół dydaktyczny</w:t>
            </w:r>
          </w:p>
        </w:tc>
      </w:tr>
      <w:tr>
        <w:trPr>
          <w:trHeight w:val="184" w:hRule="atLeast"/>
        </w:trPr>
        <w:tc>
          <w:tcPr>
            <w:tcW w:w="3186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89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mgr Małgorzata Płoszaj</w:t>
            </w:r>
          </w:p>
        </w:tc>
      </w:tr>
      <w:tr>
        <w:trPr>
          <w:trHeight w:val="218" w:hRule="atLeast"/>
        </w:trPr>
        <w:tc>
          <w:tcPr>
            <w:tcW w:w="3186" w:type="dxa"/>
            <w:tcBorders>
              <w:top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89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5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18" w:hRule="atLeast"/>
        </w:trPr>
        <w:tc>
          <w:tcPr>
            <w:tcW w:w="31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Punktacja ECTS*</w:t>
            </w:r>
          </w:p>
        </w:tc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265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kursu (cele kształcenia)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40"/>
      </w:tblGrid>
      <w:tr>
        <w:trPr>
          <w:trHeight w:val="1205" w:hRule="atLeast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Celem kursu jest zapoznanie studentów z podstawowymi zagadnieniami dotyczącymi pomocy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psychologicznej udzielanej dzieciom i młodzieży. Przedstawione zostaną podstawowe informacje dotyczące różnych form i metod pomocy oraz perspektyw teoretycznych i praktycznych w kontekście koncepcji rozwoju i zdrowia.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Warunki wstępne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71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rFonts w:ascii="Arial" w:hAnsi="Arial" w:eastAsia="Arial" w:cs="Arial"/>
                <w:sz w:val="22"/>
                <w:szCs w:val="22"/>
                <w:shd w:fill="auto" w:val="clear"/>
                <w:lang w:val="pl-PL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lang w:val="pl-PL"/>
        </w:rPr>
      </w:r>
      <w:r>
        <w:br w:type="page"/>
      </w:r>
    </w:p>
    <w:p>
      <w:pPr>
        <w:pStyle w:val="Normalny"/>
        <w:spacing w:before="0" w:after="0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Efekty uczenia się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79"/>
        <w:gridCol w:w="5296"/>
        <w:gridCol w:w="2365"/>
      </w:tblGrid>
      <w:tr>
        <w:trPr>
          <w:trHeight w:val="770" w:hRule="atLeast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678" w:hRule="atLeast"/>
        </w:trPr>
        <w:tc>
          <w:tcPr>
            <w:tcW w:w="197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  <w:t>W01 Student ma wiedzę teoretyczną w zakresie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  <w:t>wybranych elementów psychologii pomocy dzieciom i młodzieży.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  <w:t>W02 Student dysponuje wiedzą z zakresu możliwości stosowania wiedzy teoretycznej dotyczącej udzielania pomocy psychologicznej dzieciom i młodzieży w wybranych sytuacjach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  <w:t>profesjonalnych pracy psychologa.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  <w:t>W03 Student ma podstawową wiedzę teoretyczną na temat poradnictwa psychologicznego, interwencji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  <w:lang w:val="pl-PL"/>
              </w:rPr>
              <w:t>kryzysowej i psychoterapii dzieci i młodzieży.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K_W07, K_W09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K_W10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K_W10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1"/>
        <w:gridCol w:w="5249"/>
        <w:gridCol w:w="2410"/>
      </w:tblGrid>
      <w:tr>
        <w:trPr>
          <w:trHeight w:val="779" w:hRule="atLeast"/>
        </w:trPr>
        <w:tc>
          <w:tcPr>
            <w:tcW w:w="198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52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956" w:hRule="atLeast"/>
        </w:trPr>
        <w:tc>
          <w:tcPr>
            <w:tcW w:w="1981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U01 Student analizuje potrzeby dzieci i młodzieży w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kontakcie z dorosłym udzielającym pomocy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U02 Student wykorzystuje wiedzę o formach pomocy psychologicznej w planowaniu pomocy w określonym przypadku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U03 Student potrafi zanalizować sytuację trudną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dziecka /adolescenta w kontekście jego rodziny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K_U08, K_U09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K_U08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K_U08, K_U09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1"/>
        <w:gridCol w:w="5249"/>
        <w:gridCol w:w="2410"/>
      </w:tblGrid>
      <w:tr>
        <w:trPr>
          <w:trHeight w:val="640" w:hRule="atLeast"/>
        </w:trPr>
        <w:tc>
          <w:tcPr>
            <w:tcW w:w="198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Kompetencje społeczne</w:t>
            </w:r>
          </w:p>
        </w:tc>
        <w:tc>
          <w:tcPr>
            <w:tcW w:w="52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824" w:hRule="atLeast"/>
        </w:trPr>
        <w:tc>
          <w:tcPr>
            <w:tcW w:w="1981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K01 Student ma krytyczną postawę wobec własnych kompetencji jako udzielającego pomocy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psychologicznej dzieciom i młodzieży, a zarazem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otwarty na konsultacje i współpracę z innymi specjalistami oraz rozumie potrzebę doskonalenia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swoich kompetencji terapeutycznych podczas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studiów, szkoleń i superwizji.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K02 Student stosuje w procesie udzielania wsparcia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wiedzę dotycząca pomocy psychologicznej dzieciom i młodzieży oraz z zakresu różnych innych działów psychologii, w tym psychologii klinicznej i rozwojowej.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K03 Student ma świadomość ograniczeń i typowych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błędów związanych ze stosowaniem różnych metod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pomocy psychologicznej oraz jest świadomy kompetencji i uprawnień, jakie musi posiadać w zakresie różnych form pomocy psychologicznej dzieciom i młodzieży.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K_K02, K_K03, K_K05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K_K02, K_K04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32" w:type="dxa"/>
        <w:jc w:val="left"/>
        <w:tblInd w:w="109" w:type="dxa"/>
        <w:tblLayout w:type="fixed"/>
        <w:tblCellMar>
          <w:top w:w="80" w:type="dxa"/>
          <w:left w:w="125" w:type="dxa"/>
          <w:bottom w:w="80" w:type="dxa"/>
          <w:right w:w="217" w:type="dxa"/>
        </w:tblCellMar>
      </w:tblPr>
      <w:tblGrid>
        <w:gridCol w:w="1608"/>
        <w:gridCol w:w="1224"/>
        <w:gridCol w:w="850"/>
        <w:gridCol w:w="270"/>
        <w:gridCol w:w="863"/>
        <w:gridCol w:w="315"/>
        <w:gridCol w:w="818"/>
        <w:gridCol w:w="283"/>
        <w:gridCol w:w="851"/>
        <w:gridCol w:w="282"/>
        <w:gridCol w:w="854"/>
        <w:gridCol w:w="283"/>
        <w:gridCol w:w="846"/>
        <w:gridCol w:w="284"/>
      </w:tblGrid>
      <w:tr>
        <w:trPr>
          <w:trHeight w:val="320" w:hRule="atLeast"/>
        </w:trPr>
        <w:tc>
          <w:tcPr>
            <w:tcW w:w="9631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ind w:hanging="0" w:left="45" w:right="13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Organizacja</w:t>
            </w:r>
          </w:p>
        </w:tc>
      </w:tr>
      <w:tr>
        <w:trPr>
          <w:trHeight w:val="550" w:hRule="atLeast"/>
        </w:trPr>
        <w:tc>
          <w:tcPr>
            <w:tcW w:w="16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Forma zajęć</w:t>
            </w:r>
          </w:p>
        </w:tc>
        <w:tc>
          <w:tcPr>
            <w:tcW w:w="1224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  <w:p>
            <w:pPr>
              <w:pStyle w:val="Zawartotabeli"/>
              <w:bidi w:val="0"/>
              <w:spacing w:before="57" w:after="57"/>
              <w:ind w:hanging="0" w:left="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(W)</w:t>
            </w:r>
          </w:p>
        </w:tc>
        <w:tc>
          <w:tcPr>
            <w:tcW w:w="6799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grupach</w:t>
            </w:r>
          </w:p>
        </w:tc>
      </w:tr>
      <w:tr>
        <w:trPr>
          <w:trHeight w:val="373" w:hRule="atLeast"/>
        </w:trPr>
        <w:tc>
          <w:tcPr>
            <w:tcW w:w="1608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224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A</w:t>
            </w:r>
          </w:p>
        </w:tc>
        <w:tc>
          <w:tcPr>
            <w:tcW w:w="2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</w:t>
            </w:r>
          </w:p>
        </w:tc>
        <w:tc>
          <w:tcPr>
            <w:tcW w:w="28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4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95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7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58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7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metod prowadzenia zajęć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1760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Kurs odbywa się stacjonarnie.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Wykład: wykład z prezentacją multimedialną.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 dyskusja grupowa, studia przypadku, ćwiczenia grupowe, ćwiczenia indywidualne.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Formy sprawdzania efektów uczenia się</w:t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1" w:type="dxa"/>
        <w:jc w:val="left"/>
        <w:tblInd w:w="109" w:type="dxa"/>
        <w:tblLayout w:type="fixed"/>
        <w:tblCellMar>
          <w:top w:w="80" w:type="dxa"/>
          <w:left w:w="193" w:type="dxa"/>
          <w:bottom w:w="80" w:type="dxa"/>
          <w:right w:w="193" w:type="dxa"/>
        </w:tblCellMar>
      </w:tblPr>
      <w:tblGrid>
        <w:gridCol w:w="962"/>
        <w:gridCol w:w="662"/>
        <w:gridCol w:w="669"/>
        <w:gridCol w:w="667"/>
        <w:gridCol w:w="666"/>
        <w:gridCol w:w="664"/>
        <w:gridCol w:w="667"/>
        <w:gridCol w:w="667"/>
        <w:gridCol w:w="666"/>
        <w:gridCol w:w="564"/>
        <w:gridCol w:w="768"/>
        <w:gridCol w:w="667"/>
        <w:gridCol w:w="669"/>
        <w:gridCol w:w="662"/>
      </w:tblGrid>
      <w:tr>
        <w:trPr>
          <w:trHeight w:val="15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 – learning</w:t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Zajęcia terenowe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laboratoryjna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Referat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pisemna (esej)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ustny</w:t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pisemny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Inne</w:t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BalloonText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W01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W02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W03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U01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U02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U03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K01</w:t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K02</w:t>
            </w:r>
          </w:p>
        </w:tc>
        <w:tc>
          <w:tcPr>
            <w:tcW w:w="6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K03</w:t>
            </w:r>
          </w:p>
        </w:tc>
        <w:tc>
          <w:tcPr>
            <w:tcW w:w="6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9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832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  <w:lang w:val="pl-PL"/>
              </w:rPr>
              <w:t>Egzamin testowy (ocena pozytywna = 60% + 1 pkt).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  <w:lang w:val="pl-PL"/>
              </w:rPr>
              <w:t>Zaliczenie ćwiczeń: na podstawie aktywnej obecności na zajęciach i wykonania zadania zaliczeniowego.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929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0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  <w:t>Przedmiot kierunkowy na studiach stacjonarnych, jednolitych magisterskich, kierunek: Psychologia.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Treści merytoryczne (wykaz tematów)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76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Wykłady: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Specyfika pomocy dzieciom i młodzieży.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Zdrowie psychiczne a rozwój w kontekście społecznym – koncepcje zdrowia i rozwoju.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Rozpoznawanie problemów rozwojowych. Wspomaganie rozwoju, wczesna interwencja, rehabilitacja.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4. Rola negatywnych doświadczeń w dzieciństwie.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5. Profilaktyka, socjoterapia.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6. Podstawowe perspektywy w psychoterapii i poradnictwie dzieci I młodzieży.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7. Uwarunkowania prawne, kwestie etyczne i instytucjonalne.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1. Prawna ochrona dziecka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2.Portret psychologiczny  dziecka krzywdzonego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3. Jak w praktyce pracować z traumą i dzieci i młodzieży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Dam Radę-metoda 15 kroków- jako przykład pomocy psychologicznej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4. Procedura „Niebieskiej Karty”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5. Praca z dzieckiem będącym w stresie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6.Mediacja rodzinna. Dziecko w sytuacji rozwodu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7. Interwencja wobec dziecka i nastolatka w kryzysie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8. Warsztaty psychologiczna jako forma oddziaływań pomocowych: struktura warsztatu, efektywność technik psychologicznych stosowanych w różnych grupach wiekowych dzieci i młodzieży (analiza przykładowego warsztatu psychoedukacyjnego),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9. Warsztaty w szkole podstawowe dotyczące różnych problemów psychologicznych dzieci i młodzieży tj.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a) Zachowania autodestrukcyjne i szkodzące zdrowiu: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wypalenie szkolne,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problematyka uzależnień,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zaburzenia odżywiania,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samookaleczanie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b) Społeczno – kulturowe zagrożenia okresu pubertacji i adolescencji: Cyberbulling,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Child grooming 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Subkultury młodzieżowe i sekty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10. Teoretyczne aspekty nawiązywania kontaktu psychologicznego i etyczne dylematy w pracy psychologa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11. Techniki pracy z dziećmi przejawiającymi zachowania problemowe.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podstawowej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38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Wykład </w:t>
            </w:r>
            <w:r>
              <w:rPr>
                <w:lang w:val="pl-PL"/>
              </w:rPr>
              <w:t>(wskazane rozdziały)</w:t>
            </w:r>
            <w:r>
              <w:rPr>
                <w:lang w:val="pl-PL"/>
              </w:rPr>
              <w:t>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Grzegorzewska, I., Cierpiałkowska, L., &amp; Borkowska, A. (red.). (2020). Psychologia kliniczna dzieci i młodzieży. PWN.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Brzezińska, A. I. (red.). (2005). Psychologiczne portrety człowieka. Praktyczna psychologia rozwojowa. GWP.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Brzezińska, A. I., &amp; Toeplitz, Z. (2007). Problemy etyczne w badaniach i interwencji psychologicznej wobec dzieci i młodzieży. SWPS Academica.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Konwersatorium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Namysłowska, I. (2012). Psychiatria dzieci i młodzieży. Warszawa: PZWL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Kluczyńska, Czabała (2015). Poradnictwo psychologiczne. Warszawa: PWN 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Alan, E., Kazdin, J., Weisz R. (2006). Psychoterapia dzieci i młodzieży. Metody oparte na dowodach. Kraków, Wydawnictwo UJ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4. Briere, Scott, Podstawy terapii traumy, Wydawnictwo UJ, 2020.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5. Heller, LaPierre, Leczenie traumy rozwojowej, Wydawnictwo ITP, 2018.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6. Harris, Zrozumieć ACT, GWP, 2021.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7. Herbowski, Krawczyk, Słapczyńska, Zalewska, Przestępstwa seksualne, Difin, 2016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8. Fisher, Terapia osób, które przetrwały traumy złożone, Wydawnictwo UJ, 2019.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9. Herman, Trauma. Od przemocy domowej do terroru politycznego, Czarna owca, 2020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10. Levine, Trauma i pamięć. Mózg i ciało w poszukiwaniu autentycznej przeszłości, Czarna owca, 2015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11. Levine, Frederick, Obudźcie tygrysa. Leczenie traumy, Czarna owca, 2020.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12. Levine, Trauma i pamięć. Mózg i ciało w poszukiwaniu autentycznej przeszłości, Czarna owca, 2015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13. Kendall, P. (2010). Terapia dzieci i młodzieży: procedury poznawczo-behawioralne. Kraków: wydawnictwo UJ. 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14. Kołakowski, A. (2020). Psychoterapia poznawczo-behawioralna dzieci i młodzieży. Przewodnik praktyka. GWP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15. Okun B.F. (2002). Skuteczna pomoc psychologiczna. Warszawa: Instytut Psychologii Zdrowia, polskie Towarzystwo Psychologiczne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16. Kaduson, Schaefer (2015). Zabawa w psychoterapii. GWP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17. Manassis (2015). Opracowanie przypadku w terapii dzieci i młodzieży. Wydawnictwo UJ  (wybrane rozdziały)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18. Panda, P. K., Gupta, J., Chowdhury, S. R., Kumar, R., Meena, A. K., Madaan, P., &amp; Gulati, S. (2021). Psychological and behavioral impact of lockdown and quarantine measures for COVID-19 pandemic on children, adolescents and caregivers: a systematic review and meta-analysis. Journal of tropical pediatrics, 67(1),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19. Imran, N., Aamer, I., Sharif, M. I., Bodla, Z. H., &amp; Naveed, S. (2020). Psychological burden of quarantine in children and adolescents: A rapid systematic review and proposed solutions. Pakistan journal of medical sciences, 36(5), 1106.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20. McVeigh, M. J., &amp; Heward-Belle, S. (2020). Necessary and good: a literature review exploring ethical issues for online counselling with children and young people who have experienced maltreatment. Children Australia, 45(4), 266-278.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21. Holland, M., Hawks, J., Morelli, L. C., &amp; Khan, Z. (2021). Risk assessment and crisis intervention for youth in a time of telehealth. Contemporary school psychology, 25(1), 12-26.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22. Furman B., Program Dam Radę w praktyce. [przeł. K. Pawłusiów]. Centrum Terapii Krótkoterminowej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23. Rosenbloom, Williams, Watkins, Życie po traumie. Zeszyt ćwiczeń terapeutycznych, Zwierciadło, 2020.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24. Rothschild, Ciało pamięta. Psychofizjologia traumy i terapia osób po urazie psychicznym, Wydawnictwo UJ, 2014.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25.  Rothschild, Ciało pamięta. Rewolucja w terapii traumy, Wydawnictwo UJ, 2021.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26. Rathus, Miller, Terapia dialektyczno-behawioralna (DBT®) młodzieży. Trening umiejętności, Wydawnictwo UJ, 2018.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27. Taylor Ch., Dzieci i młodzież ze zdezorganizowanym stylem przywiązania, GWP, 2022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28. Wolynn, Nie zaczęło się od ciebie, Czarna owca, 2021.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29. Sandberg, Grant, Opcja B, Wydawnictwo Agora, 2018.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30. .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31. Goldenberg, Goldenberg, Terapia rodzin, Wydawnictwo UJ, 2006.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32. McMackin, Newman, Fogler, Keane [red.], Terapia traumy. Teoria i praktyka terapii opartej na dowodach, Harmonia Universalis, 2015.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33. Taylor Ch., Dzieci i młodzież ze zdezorganizowanym stylem przywiązania, GWP, 2022.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34. Piłat, Wojna, trauma, migracja, Werset, 2018.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>Gałecki, Badanie stanu psychicznego. Rozpoznania wg ICD-11, EDRA, 2022.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Hayes, Umysł wyzwolony, GWP, 2020.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Shanker, Self-reg, Mamania, 2016.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>Gilchrist, Podstawy terapii czaszkowo-krzyżowej. Ujęcie biodynamiczne, Virgo, 2013.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Ruppert, Wczesna trauma. Rozpoznawanie i uwalnianie, Virgo, 2016.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uzupełniającej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52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Wykład: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Sroufe, L. A. (Ed.). (2005). The development of the person: The Minnesota study of risk and adaptation from birth to adulthood. Guilford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Suess, G. J., &amp; Sroufe, J. (2005). Clinical implications of the development of the person. Attachment &amp; Human Development, 7(4), 381–392. https://doi.org/10.1080/14616730500365886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Jankowiak, B., &amp; Soroko, E. (2021). Socjoterapia młodzieży. Studium psychologiczno-pedagogiczne. PWN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4. John-Borys, M. (1999). Pomoc psychologiczna dla dzieci. https://psychologia.edu.pl/czytelnia/63-terapia-uzalenienia-i-wspouzalenienia/375-pomoc-psychologiczna-dla-dzieci.html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5.   James, R. K. &amp; Gilliland, B. E. (2016). Crisis intervention strategies (8th ed.). Cengage Learning.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6. Kubacka-Jasiecka, D. (2010). Interwencja kryzysowa: Pomoc w kryzysach psychologicznych. Wydawnictwa Akademickie i Profesjonalne.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7. Czabała, Cz., &amp; Kluczyńska, S. (red.) (2015). Poradnictwo psychologiczne. Wydawnictwo Naukowe PWN.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8. Okuń, B. F. (2002). Skuteczna pomoc psychologiczna. Instytut Psychologii Zdrowia, Polskie Towarzystwo Psychologiczne.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9. Badura-Madej, W. (red) (1999). Wybrane zagadnienia interwencji kryzysowej. Poradnik dla pracowników socjalnych. Wydawnictwo Uniwersytetu Śląskiego.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10. Pilecka, B. (2004). Kryzys psychologiczny. Wybrane zagadnienia. WUJ.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11. Roberts, A. R. (red.). (2005). Crisis intervention handbook: Assessment, treatment, and research (3rd ed.). Oxford University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Konwersatorium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De Barbaro B. (red.) (2012): Wprowadzenie do systemowego rozumienia rodziny, CMUJ, Kraków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Namysłowska I. (2002) Terapia rodzin. Wydawnictwo Instytutu Psychiatrii i Neurologii: Warszawa.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Grzesiuk, L. (2006). Psychoterapia. Praktyka. Warszawa: Eneteia ( wybrane fragmenty)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4. Pawłowska, P. (2022). Teczka psychologa dziecięcego. Materiały dla terapeuty pracującego z dziećmi w wieku przedszkolnym i wczesnoszkolnym. Harmonia Edukacja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5. Barbetta, P.(2017): Milan Systemic Family Therapy, In book: Encyclopedia of Couple and Family Therapy, ed.Lebow J., Chambers A., Breunlin D.,Springer International Publishing 2017. Pełny tekst w internecie: https://www.researchgate.net/publication/319055702_Milan_Systemic_Family_Therapy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6. Geldard, K. (2005). Rozmowa, która pomaga. Podstawowe umiejętności terapeutyczne. Gdańsk: GWP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7. Stewart J. (2003). Mosty zamiast murów. PWN.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8. Morreale, S.P., Spitzberg, B. H., Barge, J. K. (2011). Komunikacja między ludźmi. Motywacja, wiedza, umiejętności. Warszawa: Wydawnictwo Naukowe PWN (wybrane fragmenty)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9. Afzal, Mindufulness dla dzieci, 2020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10. Bourne, Lęk i fobia, Wydawnictwo UJ, 2011.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11. Beck, Davis, Freeman, Terapia poznawcza zaburzeń osobowości, Wydawnictwo UJ, 2016.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12. Bielski, Joga śmiechu, 2016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13. Butcher, Hooley, Mineka, Psychologia zaburzeń DSM-5, GWP, 2021.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14. Cohen, Mannarino, Deblinger, Terapia traumy i traumatycznej żałoby u dzieci i młodzieży, Wydawnictwo UJ, 2011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15. Czub, Zrozumieć dziecko wykorzystywane seksualnie, GWP, 2021.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16. Chrestman, Gilboa-Schechtman, Foa, Odzyskaj życie po traumie, GWP, 2014.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17. Clark, Beck, Zaburzenia lękowe. Podręcznik z ćwiczeniami opartymi na terapii poznawczo-behawioralnej, Wydawnictwo UJ, 2018.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18.  Dana, Teoria poliwagalna w praktyce. Zestaw 50 ćwiczeń, Wydawnictwo UJ, 2021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19. Foa, Przedłużona ekspozycja w terapii PTSD nastolatków, GWP, 2014.Bilikiewicz, Pużyński, Rybakowski, Wciórki, Psychiatria, Urban&amp;Partner, 2002.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20. Garland, Czym jest trauma. Podejście psychoanalityczne, Oficyna Ingenium, 2013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21. Hayes, Strosahl, Wilson, Terapia akceptacji i zaangażowania. Proces i praktyka uważnej zmiany, Wydawnictwo UJ, 2013.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22. Singelin, PTSD, Wydawnictwo Sonia Draga, 2020.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23. Schwartz, Złożony zespół stresu pourazowego, Wydawnictwo UJ, 2020.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24. Boon, Steele, Hart, Zaburzenia dysocjacyjne po traumie. Trening umiejętności, Wydawnictwo UJ, 2019.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25. Zdankiewicz-Ścigała, Aleksytymia i dysocjacja, SCHOLAR, 2021.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26. Ogińska-Bulik, Dwa oblicza traumy, Difin, 2015.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27. Schiraldi, Siła rezyliencji, GWP, 2022.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28. Van der Kolk, Strach ucieleśniony, Czarna Owca, 2022.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29. Linehan, Zaburzenie osobowości z pogranicza, Wydawnictwo UJ, 2010.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30. Singelin, PTSD, nonstopcomics, 2020.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31. Bourne, Lęk i fobia, Wydawnictwo UJ, 2011.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32. Najavits, Jak wyjść z traumy i uzależnienia, eSPe, 2020.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Bilans godzinowy zgodny z CNPS (Całkowity Nakład Pracy Studenta)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58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766"/>
        <w:gridCol w:w="5746"/>
        <w:gridCol w:w="1070"/>
      </w:tblGrid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w kontakcie z prowadzącymi</w:t>
            </w:r>
          </w:p>
        </w:tc>
        <w:tc>
          <w:tcPr>
            <w:tcW w:w="5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Konwersatorium, ćwiczenia, laboratorium, itd.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Pozostałe godziny kontaktu studenta z prowadzącym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pracy studenta bez kontaktu z prowadzącymi</w:t>
            </w:r>
          </w:p>
        </w:tc>
        <w:tc>
          <w:tcPr>
            <w:tcW w:w="5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Lektura w ramach przygotowania do zajęć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</w:tr>
      <w:tr>
        <w:trPr>
          <w:trHeight w:val="55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krótkiej pracy pisemnej lub referatu po zapoznaniu się z niezbędną literaturą przedmiotu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projektu lub prezentacji na podany temat (praca w grupie)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do egzaminu/zaliczenia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851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Ogółem bilans czasu pracy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</w:tr>
      <w:tr>
        <w:trPr>
          <w:trHeight w:val="232" w:hRule="atLeast"/>
        </w:trPr>
        <w:tc>
          <w:tcPr>
            <w:tcW w:w="851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punktów ECTS w zależności od przyjętego przelicznika</w:t>
            </w:r>
          </w:p>
        </w:tc>
        <w:tc>
          <w:tcPr>
            <w:tcW w:w="10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</w:tbl>
    <w:p>
      <w:pPr>
        <w:pStyle w:val="Normalny"/>
        <w:rPr>
          <w:lang w:val="pl-PL"/>
        </w:rPr>
      </w:pPr>
      <w:r>
        <w:rPr>
          <w:lang w:val="pl-PL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454" w:top="1276" w:footer="709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Helvetica Neue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lang w:val="pl-PL"/>
      </w:rPr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8</w:t>
    </w:r>
    <w:r>
      <w:rPr>
        <w:lang w:val="pl-P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spacing w:before="240" w:after="120"/>
      <w:jc w:val="right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l-PL" w:eastAsia="en-US" w:bidi="ar-SA"/>
    </w:rPr>
  </w:style>
  <w:style w:type="paragraph" w:styleId="Heading1">
    <w:name w:val="Heading 1"/>
    <w:next w:val="Normalny"/>
    <w:qFormat/>
    <w:pPr>
      <w:keepNext w:val="tru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  <w:outlineLvl w:val="0"/>
    </w:pPr>
    <w:rPr>
      <w:rFonts w:ascii="Verdana" w:hAnsi="Verdan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Nagwek">
    <w:name w:val="Nagłówek"/>
    <w:next w:val="BodyText"/>
    <w:qFormat/>
    <w:pPr>
      <w:keepNext w:val="tru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240" w:afterAutospacing="0" w:after="120"/>
      <w:ind w:hanging="0" w:left="0" w:right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 w:val="false"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Zawartotabeli">
    <w:name w:val="Zawartość tabeli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BalloonText">
    <w:name w:val="Balloon Text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ahoma" w:hAnsi="Tahom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16"/>
      <w:sz w:val="16"/>
      <w:szCs w:val="16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Styltabeli2">
    <w:name w:val="Styl tabeli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Gwkaistopka"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LibreOffice/7.6.6.3$Windows_X86_64 LibreOffice_project/d97b2716a9a4a2ce1391dee1765565ea469b0ae7</Application>
  <AppVersion>15.0000</AppVersion>
  <Pages>8</Pages>
  <Words>1876</Words>
  <Characters>12577</Characters>
  <CharactersWithSpaces>14535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2024-10-21T22:58:59Z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