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jc w:val="center"/>
        <w:rPr>
          <w:lang w:val="pl-PL"/>
        </w:rPr>
      </w:pPr>
      <w:r>
        <w:rPr>
          <w:b/>
          <w:bCs/>
          <w:i w:val="false"/>
          <w:iCs w:val="false"/>
          <w:sz w:val="24"/>
          <w:szCs w:val="24"/>
          <w:lang w:val="pl-PL"/>
        </w:rPr>
        <w:t>KARTA KURSU</w:t>
      </w:r>
      <w:r>
        <w:rPr>
          <w:rFonts w:ascii="Verdana" w:hAnsi="Verdana"/>
          <w:i w:val="false"/>
          <w:iCs w:val="false"/>
          <w:sz w:val="28"/>
          <w:szCs w:val="28"/>
          <w:lang w:val="pl-PL"/>
        </w:rPr>
        <w:t xml:space="preserve"> </w:t>
      </w:r>
    </w:p>
    <w:p>
      <w:pPr>
        <w:pStyle w:val="Heading1"/>
        <w:jc w:val="center"/>
        <w:rPr>
          <w:lang w:val="pl-PL"/>
        </w:rPr>
      </w:pPr>
      <w:r>
        <w:rPr>
          <w:i w:val="false"/>
          <w:iCs w:val="false"/>
          <w:sz w:val="24"/>
          <w:szCs w:val="24"/>
          <w:lang w:val="pl-PL"/>
        </w:rPr>
        <w:t>(realizowanego w specjalności)</w:t>
      </w:r>
    </w:p>
    <w:p>
      <w:pPr>
        <w:pStyle w:val="Normalny"/>
        <w:keepNext w:val="true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center"/>
        <w:outlineLvl w:val="0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keepNext w:val="true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center"/>
        <w:outlineLvl w:val="0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Psychologia kliniczna</w:t>
      </w:r>
    </w:p>
    <w:p>
      <w:pPr>
        <w:pStyle w:val="Normalny"/>
        <w:keepNext w:val="true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center"/>
        <w:outlineLvl w:val="0"/>
        <w:rPr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  <w:tab/>
        <w:tab/>
      </w:r>
    </w:p>
    <w:p>
      <w:pPr>
        <w:pStyle w:val="Normalny"/>
        <w:widowControl w:val="false"/>
        <w:suppressAutoHyphens w:val="true"/>
        <w:spacing w:lineRule="auto" w:line="240" w:before="0" w:after="0"/>
        <w:jc w:val="center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rok akademicki 2024/2025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Kierunek: </w:t>
      </w:r>
      <w:r>
        <w:rPr>
          <w:rFonts w:ascii="Arial" w:hAnsi="Arial"/>
          <w:sz w:val="24"/>
          <w:szCs w:val="24"/>
          <w:lang w:val="pl-PL"/>
        </w:rPr>
        <w:t>Psychologia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Tryb prowadzenia studiów: 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pl-PL"/>
        </w:rPr>
        <w:t>stacjonarne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Stopień: </w:t>
      </w:r>
      <w:r>
        <w:rPr>
          <w:rFonts w:ascii="Arial" w:hAnsi="Arial"/>
          <w:sz w:val="24"/>
          <w:szCs w:val="24"/>
          <w:lang w:val="pl-PL"/>
        </w:rPr>
        <w:t>studia</w:t>
      </w:r>
      <w:r>
        <w:rPr>
          <w:rFonts w:ascii="Arial" w:hAnsi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/>
          <w:sz w:val="24"/>
          <w:szCs w:val="24"/>
          <w:lang w:val="pl-PL"/>
        </w:rPr>
        <w:t>jednolite magisterskie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Rok: </w:t>
      </w:r>
      <w:r>
        <w:rPr>
          <w:rFonts w:eastAsia="Arial" w:cs="Arial" w:ascii="Arial" w:hAnsi="Arial"/>
          <w:b/>
          <w:bCs/>
          <w:sz w:val="24"/>
          <w:szCs w:val="24"/>
          <w:lang w:val="pl-PL"/>
        </w:rPr>
        <w:t>IV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Semestr: </w:t>
      </w:r>
      <w:r>
        <w:rPr>
          <w:rFonts w:ascii="Arial" w:hAnsi="Arial"/>
          <w:sz w:val="24"/>
          <w:szCs w:val="24"/>
          <w:lang w:val="pl-PL"/>
        </w:rPr>
        <w:t xml:space="preserve"> (7)</w:t>
      </w:r>
    </w:p>
    <w:p>
      <w:pPr>
        <w:pStyle w:val="Normalny"/>
        <w:widowControl w:val="false"/>
        <w:suppressAutoHyphens w:val="true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keepNext w:val="true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center"/>
        <w:outlineLvl w:val="0"/>
        <w:rPr>
          <w:rFonts w:ascii="Arial" w:hAnsi="Arial" w:eastAsia="Arial" w:cs="Arial"/>
          <w:b/>
          <w:bCs/>
          <w:i/>
          <w:i/>
          <w:iCs/>
          <w:sz w:val="20"/>
          <w:szCs w:val="20"/>
          <w:lang w:val="pl-PL"/>
        </w:rPr>
      </w:pPr>
      <w:r>
        <w:rPr>
          <w:rFonts w:eastAsia="Arial" w:cs="Arial" w:ascii="Arial" w:hAnsi="Arial"/>
          <w:b/>
          <w:bCs/>
          <w:i/>
          <w:iCs/>
          <w:sz w:val="20"/>
          <w:szCs w:val="20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jc w:val="center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3"/>
        <w:gridCol w:w="7656"/>
      </w:tblGrid>
      <w:tr>
        <w:trPr>
          <w:trHeight w:val="235" w:hRule="atLeast"/>
        </w:trPr>
        <w:tc>
          <w:tcPr>
            <w:tcW w:w="19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Wsparcie psychologiczne w sytuacjach trudnych</w:t>
            </w:r>
          </w:p>
        </w:tc>
      </w:tr>
      <w:tr>
        <w:trPr>
          <w:trHeight w:val="219" w:hRule="atLeast"/>
        </w:trPr>
        <w:tc>
          <w:tcPr>
            <w:tcW w:w="19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 w j. ang.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Psychological support in difficult situations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jc w:val="center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87"/>
        <w:gridCol w:w="3190"/>
        <w:gridCol w:w="3263"/>
      </w:tblGrid>
      <w:tr>
        <w:trPr>
          <w:trHeight w:val="218" w:hRule="atLeast"/>
        </w:trPr>
        <w:tc>
          <w:tcPr>
            <w:tcW w:w="318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</w:t>
            </w:r>
          </w:p>
        </w:tc>
        <w:tc>
          <w:tcPr>
            <w:tcW w:w="32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Zespół dydaktyczny</w:t>
            </w:r>
          </w:p>
        </w:tc>
      </w:tr>
      <w:tr>
        <w:trPr>
          <w:trHeight w:val="184" w:hRule="atLeast"/>
        </w:trPr>
        <w:tc>
          <w:tcPr>
            <w:tcW w:w="3187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90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Stupak,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Monika Paleczna</w:t>
            </w:r>
          </w:p>
        </w:tc>
      </w:tr>
      <w:tr>
        <w:trPr>
          <w:trHeight w:val="218" w:hRule="atLeast"/>
        </w:trPr>
        <w:tc>
          <w:tcPr>
            <w:tcW w:w="3187" w:type="dxa"/>
            <w:tcBorders>
              <w:top w:val="single" w:sz="2" w:space="0" w:color="95B3D7"/>
              <w:bottom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3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18" w:hRule="atLeast"/>
        </w:trPr>
        <w:tc>
          <w:tcPr>
            <w:tcW w:w="318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263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p>
      <w:pPr>
        <w:pStyle w:val="Normalny"/>
        <w:keepNext w:val="true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center"/>
        <w:outlineLvl w:val="0"/>
        <w:rPr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  <w:tab/>
        <w:tab/>
        <w:tab/>
        <w:tab/>
        <w:tab/>
        <w:tab/>
        <w:tab/>
        <w:tab/>
      </w:r>
    </w:p>
    <w:p>
      <w:pPr>
        <w:pStyle w:val="Normalny"/>
        <w:widowControl w:val="false"/>
        <w:suppressAutoHyphens w:val="true"/>
        <w:spacing w:lineRule="auto" w:line="240" w:before="0" w:after="0"/>
        <w:jc w:val="center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lang w:val="pl-PL"/>
        </w:rPr>
        <w:t>Opis kursu (cele kształcenia)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40"/>
      </w:tblGrid>
      <w:tr>
        <w:trPr>
          <w:trHeight w:val="1205" w:hRule="atLeast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Celem kursu jest zapoznanie studentów z pogłębioną i poszerzoną wiedzą na temat wybranych teoretycznych i praktycznych podejść związanych ze wsparciem psychologicznym w sytuacjach trudnych. Wskazane zostanie kulturowe, społeczne i historyczne uwarunkowanie zarówno koncepcji psychologicznych jak i sytuacji wymagających pomocy. Wybranym trudnym sytuacjom i ich specyfice poświęcona zostanie szczególna uwaga. Studenci pogłębią także znajomość niektórych technik i narzędzi przydatnych we wsparciu psychologicznym oraz udoskonalą umiejętności niezbędne w tym obszarze.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lang w:val="pl-PL"/>
        </w:rPr>
        <w:t>Warunki wstępne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71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rFonts w:ascii="Arial" w:hAnsi="Arial" w:eastAsia="Arial" w:cs="Arial"/>
                <w:shd w:fill="auto" w:val="clear"/>
                <w:lang w:val="pl-PL"/>
              </w:rPr>
            </w:pPr>
            <w:r>
              <w:rPr>
                <w:rFonts w:eastAsia="Arial" w:cs="Arial" w:ascii="Arial" w:hAnsi="Arial"/>
                <w:shd w:fill="auto" w:val="clear"/>
                <w:lang w:val="pl-PL"/>
              </w:rPr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lang w:val="pl-PL"/>
              </w:rPr>
              <w:t>Znajomość podstawowych koncepcji i teorii psychologicznych z zakresu psychologii klinicznej, społecznej i rozwojowej</w:t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lang w:val="pl-PL"/>
              </w:rPr>
              <w:t>Podstawowe umiejętności w zakresie czytania ze zrozumieniem tekstów naukowych, także w języku angielskim</w:t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lang w:val="pl-PL"/>
        </w:rPr>
      </w:r>
      <w:r>
        <w:br w:type="page"/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lang w:val="pl-PL"/>
        </w:rPr>
        <w:t>Efekty uczenia się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79"/>
        <w:gridCol w:w="5296"/>
        <w:gridCol w:w="2365"/>
      </w:tblGrid>
      <w:tr>
        <w:trPr>
          <w:trHeight w:val="985" w:hRule="atLeast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dla specjalności</w:t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16"/>
                <w:szCs w:val="16"/>
                <w:shd w:fill="auto" w:val="clear"/>
                <w:lang w:val="pl-PL"/>
              </w:rPr>
              <w:t>(określonych w karcie programu studiów dla specjalności)</w:t>
            </w:r>
          </w:p>
        </w:tc>
      </w:tr>
      <w:tr>
        <w:trPr>
          <w:trHeight w:val="1678" w:hRule="atLeast"/>
        </w:trPr>
        <w:tc>
          <w:tcPr>
            <w:tcW w:w="197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  <w:shd w:fill="auto" w:val="clear"/>
                <w:lang w:val="pl-PL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  <w:lang w:val="pl-PL"/>
              </w:rPr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W01 Ma pogłębioną wiedzę o interwencji kryzysowej i formach udzielania wsparcia psychologicznego</w:t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W02 Posiada poszerzoną wiedzę dotyczącą funkcjonowania i dysfunkcjonowania, harmonii i dysharmonii, normy i patologii.</w:t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W03 Ma specjalistyczną wiedzę na temat głównych kierunków i metod klasycznej i współczesnej psychoterapii.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.</w:t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SK_W010</w:t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SK_W02</w:t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SK_W05,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3"/>
        <w:gridCol w:w="5247"/>
        <w:gridCol w:w="2410"/>
      </w:tblGrid>
      <w:tr>
        <w:trPr>
          <w:trHeight w:val="985" w:hRule="atLeast"/>
        </w:trPr>
        <w:tc>
          <w:tcPr>
            <w:tcW w:w="198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dla specjalności</w:t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16"/>
                <w:szCs w:val="16"/>
                <w:shd w:fill="auto" w:val="clear"/>
                <w:lang w:val="pl-PL"/>
              </w:rPr>
              <w:t>(określonych w karcie programu studiów dla specjalności)</w:t>
            </w:r>
          </w:p>
        </w:tc>
      </w:tr>
      <w:tr>
        <w:trPr>
          <w:trHeight w:val="1956" w:hRule="atLeast"/>
        </w:trPr>
        <w:tc>
          <w:tcPr>
            <w:tcW w:w="1983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  <w:shd w:fill="auto" w:val="clear"/>
                <w:lang w:val="pl-PL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  <w:lang w:val="pl-PL"/>
              </w:rPr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U01 Potrafi dobrać i zaproponować odpowiednie do problemu oddziaływanie psychoterapeutyczne.</w:t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/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U02 Potrafi rozpoznać oznaki kryzysu psychicznego oraz dobrać sposób udzielania pomocy psychologicznej w kryzysie.</w:t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/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U03 Potrafi zidentyfikować różne rodzaje wsparcia.</w:t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/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U04 Potrafi rozpoznać kulturowe tło zaburzeń psychicznych.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SK_U01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SK_U03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SK_U08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SK_U010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3"/>
        <w:gridCol w:w="5247"/>
        <w:gridCol w:w="2410"/>
      </w:tblGrid>
      <w:tr>
        <w:trPr>
          <w:trHeight w:val="985" w:hRule="atLeast"/>
        </w:trPr>
        <w:tc>
          <w:tcPr>
            <w:tcW w:w="198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Kompetencje społeczne</w:t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dla specjalności</w:t>
            </w:r>
          </w:p>
          <w:p>
            <w:pPr>
              <w:pStyle w:val="Normalny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16"/>
                <w:szCs w:val="16"/>
                <w:shd w:fill="auto" w:val="clear"/>
                <w:lang w:val="pl-PL"/>
              </w:rPr>
              <w:t>(określonych w karcie programu studiów dla specjalności)</w:t>
            </w:r>
          </w:p>
        </w:tc>
      </w:tr>
      <w:tr>
        <w:trPr>
          <w:trHeight w:val="1824" w:hRule="atLeast"/>
        </w:trPr>
        <w:tc>
          <w:tcPr>
            <w:tcW w:w="1983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K01 Posiada kompetencje interpersonalne niezbędne psychologowi klinicznemu.</w:t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/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K02 Przejawia postawę akceptacji i zrozumienia wobec osób potrzebujących pomocy psychologicznej.</w:t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/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K03 Podejmując praktykę psychologiczną przestrzega zasad etyki zawodowej.</w:t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/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0" w:after="0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K04 Rozumie konieczność dalszego kształcenia w zawodzie psychologa klinicznego.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SK_K06, 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SK_K04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SK_K01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SK_K03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lang w:val="pl-PL"/>
        </w:rPr>
        <w:t>Opis metod prowadzenia zajęć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1760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Kurs odbywa się w trybie stacjonarnym.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Wykład: Wykład </w:t>
            </w:r>
            <w:r>
              <w:rPr>
                <w:lang w:val="pl-PL"/>
              </w:rPr>
              <w:t>z wykorzystaniem prezentacji multimedialnej, filmów edukacyjnych i innych mediów</w:t>
            </w:r>
            <w:r>
              <w:rPr>
                <w:lang w:val="pl-PL"/>
              </w:rPr>
              <w:t>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Ćwiczenia: Dyskusja nad czytanymi tekstami, praca w grupach, analiza studium przypadku, debata, odgrywanie ról.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lang w:val="pl-PL"/>
        </w:rPr>
        <w:t>Formy sprawdzania efektów uczenia się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21" w:type="dxa"/>
        <w:jc w:val="left"/>
        <w:tblInd w:w="109" w:type="dxa"/>
        <w:tblLayout w:type="fixed"/>
        <w:tblCellMar>
          <w:top w:w="80" w:type="dxa"/>
          <w:left w:w="193" w:type="dxa"/>
          <w:bottom w:w="80" w:type="dxa"/>
          <w:right w:w="193" w:type="dxa"/>
        </w:tblCellMar>
      </w:tblPr>
      <w:tblGrid>
        <w:gridCol w:w="962"/>
        <w:gridCol w:w="663"/>
        <w:gridCol w:w="668"/>
        <w:gridCol w:w="667"/>
        <w:gridCol w:w="666"/>
        <w:gridCol w:w="664"/>
        <w:gridCol w:w="667"/>
        <w:gridCol w:w="667"/>
        <w:gridCol w:w="666"/>
        <w:gridCol w:w="564"/>
        <w:gridCol w:w="768"/>
        <w:gridCol w:w="667"/>
        <w:gridCol w:w="667"/>
        <w:gridCol w:w="664"/>
      </w:tblGrid>
      <w:tr>
        <w:trPr>
          <w:trHeight w:val="15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 – learning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Zajęcia terenowe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laboratoryjna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Referat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pisemna (esej)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ustny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pisemny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Inne</w:t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W01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W02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</w:t>
            </w: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3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U01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U02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</w:t>
            </w: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3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</w:t>
            </w: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4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K01</w:t>
            </w:r>
          </w:p>
        </w:tc>
        <w:tc>
          <w:tcPr>
            <w:tcW w:w="66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K02</w:t>
            </w:r>
          </w:p>
        </w:tc>
        <w:tc>
          <w:tcPr>
            <w:tcW w:w="66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K0</w:t>
            </w:r>
            <w:r>
              <w:rPr>
                <w:rFonts w:ascii="Arial" w:hAnsi="Arial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66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K0</w:t>
            </w:r>
            <w:r>
              <w:rPr>
                <w:rFonts w:ascii="Arial" w:hAnsi="Arial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66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832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Tre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Wykład: egzamin testowy (zaliczenie od 60% + 1 pkt.)</w:t>
            </w:r>
          </w:p>
          <w:p>
            <w:pPr>
              <w:pStyle w:val="Tre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Tre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  <w:shd w:fill="auto" w:val="clear"/>
                <w:lang w:val="pl-PL"/>
              </w:rPr>
              <w:t>Zaliczenie ćwiczeń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val="pl-PL"/>
              </w:rPr>
              <w:t>: aktywność na zajęciach</w:t>
            </w:r>
            <w:r>
              <w:rPr>
                <w:rFonts w:cs="Arial" w:ascii="Arial" w:hAnsi="Arial"/>
                <w:sz w:val="20"/>
                <w:szCs w:val="20"/>
                <w:shd w:fill="auto" w:val="clear"/>
                <w:lang w:val="pl-PL"/>
              </w:rPr>
              <w:t xml:space="preserve">, obecność na zajęciach: dopuszczalna max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val="pl-PL"/>
              </w:rPr>
              <w:t>1</w:t>
            </w:r>
            <w:r>
              <w:rPr>
                <w:rFonts w:cs="Arial" w:ascii="Arial" w:hAnsi="Arial"/>
                <w:sz w:val="20"/>
                <w:szCs w:val="20"/>
                <w:shd w:fill="auto" w:val="clear"/>
                <w:lang w:val="pl-PL"/>
              </w:rPr>
              <w:t xml:space="preserve"> nieobecność; przygotowanie projektu grupowego w obszarze psychoedukacji</w:t>
            </w:r>
          </w:p>
          <w:p>
            <w:pPr>
              <w:pStyle w:val="Normalny"/>
              <w:widowControl w:val="false"/>
              <w:suppressAutoHyphens w:val="true"/>
              <w:spacing w:lineRule="auto" w:line="240" w:before="57" w:after="57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929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 w:val="false"/>
              <w:suppressAutoHyphens w:val="true"/>
              <w:spacing w:lineRule="auto" w:line="240" w:before="0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rFonts w:ascii="Arial" w:hAnsi="Arial" w:eastAsia="Arial" w:cs="Arial"/>
                <w:u w:val="none" w:color="000000"/>
                <w:lang w:val="pl-PL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Arial" w:cs="Arial" w:ascii="Arial" w:hAnsi="Arial"/>
                <w:u w:val="none" w:color="000000"/>
                <w:lang w:val="pl-PL"/>
                <w14:textOutline w14:w="12700" w14:cap="flat">
                  <w14:noFill/>
                  <w14:miter w14:lim="400000"/>
                </w14:textOutline>
              </w:rPr>
            </w:r>
          </w:p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u w:val="none" w:color="000000"/>
                <w:lang w:val="pl-PL"/>
                <w14:textOutline w14:w="12700" w14:cap="flat">
                  <w14:noFill/>
                  <w14:miter w14:lim="400000"/>
                </w14:textOutline>
              </w:rPr>
              <w:t xml:space="preserve">Przedmiot realizowany w specjalności </w:t>
            </w:r>
            <w:r>
              <w:rPr>
                <w:rFonts w:ascii="Arial" w:hAnsi="Arial"/>
                <w:i/>
                <w:iCs/>
                <w:u w:val="none" w:color="000000"/>
                <w:lang w:val="pl-PL"/>
                <w14:textOutline w14:w="12700" w14:cap="flat">
                  <w14:noFill/>
                  <w14:miter w14:lim="400000"/>
                </w14:textOutline>
              </w:rPr>
              <w:t>Psychologia kliniczna</w:t>
            </w:r>
            <w:r>
              <w:rPr>
                <w:rFonts w:ascii="Arial" w:hAnsi="Arial"/>
                <w:u w:val="none" w:color="000000"/>
                <w:lang w:val="pl-PL"/>
                <w14:textOutline w14:w="12700" w14:cap="flat">
                  <w14:noFill/>
                  <w14:miter w14:lim="400000"/>
                </w14:textOutline>
              </w:rPr>
              <w:t xml:space="preserve"> na studiach stacjonarnych, jednolitych magisterskich, kierunek: Psychologia.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lang w:val="pl-PL"/>
        </w:rPr>
        <w:t>Treści merytoryczne (wykaz tematów)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76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1. Pojęcia wsparcia psychologicznego i sytuacji trudnych w kontekście psychologii jako nauki uwarunkowanej kulturowo, społecznie i historycznie.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2. Człowiek a sytuacja. Sytuacje trudne według Tadeusza Tomaszewskiego.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3. Koncepcje stresu i metod radzenia sobie ze stresem.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4. Interwencja kryzysowa. Sytuacje kryzysowe w kontekście praktycznym i teoretycznym.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5. Sytuacje trudne a </w:t>
            </w:r>
            <w:r>
              <w:rPr>
                <w:rFonts w:cs="Arial" w:ascii="Arial" w:hAnsi="Arial"/>
                <w:sz w:val="20"/>
                <w:szCs w:val="20"/>
              </w:rPr>
              <w:t>zaburzenia. P</w:t>
            </w:r>
            <w:r>
              <w:rPr>
                <w:rFonts w:cs="Arial" w:ascii="Arial" w:hAnsi="Arial"/>
                <w:sz w:val="20"/>
                <w:szCs w:val="20"/>
              </w:rPr>
              <w:t xml:space="preserve">omoc psychologiczna, poradnictwo psychologiczne </w:t>
            </w:r>
            <w:r>
              <w:rPr>
                <w:rFonts w:cs="Arial" w:ascii="Arial" w:hAnsi="Arial"/>
                <w:sz w:val="20"/>
                <w:szCs w:val="20"/>
              </w:rPr>
              <w:t>i psychoterapia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6. Otwarty dialog jako interwencja kryzysowa.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  <w:r>
              <w:rPr>
                <w:rFonts w:cs="Arial" w:ascii="Arial" w:hAnsi="Arial"/>
                <w:sz w:val="20"/>
                <w:szCs w:val="20"/>
              </w:rPr>
              <w:t>. Koncepcje traumy. Podejścia zorientowane na doświadczenia traumatyczne.</w:t>
            </w:r>
          </w:p>
          <w:p>
            <w:pPr>
              <w:pStyle w:val="NormalWeb"/>
              <w:widowControl w:val="false"/>
              <w:spacing w:before="280" w:after="0"/>
              <w:rPr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8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. Sytuacje trudne w ujęciu Power Threat Meaning Framework.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  <w:r>
              <w:rPr>
                <w:rFonts w:cs="Arial" w:ascii="Arial" w:hAnsi="Arial"/>
                <w:sz w:val="20"/>
                <w:szCs w:val="20"/>
              </w:rPr>
              <w:t>. Kryzys samobójczy.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  <w:r>
              <w:rPr>
                <w:rFonts w:cs="Arial" w:ascii="Arial" w:hAnsi="Arial"/>
                <w:sz w:val="20"/>
                <w:szCs w:val="20"/>
              </w:rPr>
              <w:t>. Żałoba.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</w:rPr>
              <w:t>. Sytuacja trudna a sytuacja graniczna – perspektywa psychologii egzystencjalnej.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</w:rPr>
              <w:t>2</w:t>
            </w:r>
            <w:r>
              <w:rPr>
                <w:rFonts w:cs="Arial" w:ascii="Arial" w:hAnsi="Arial"/>
                <w:sz w:val="20"/>
                <w:szCs w:val="20"/>
              </w:rPr>
              <w:t>. Kryzys psychiczny a dezintegracja pozytywna w ujęciu Kazimierza Dąbrowskiego.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. Wsparcie psychologiczne i kwestie etyczne oraz regulacje prawne.</w:t>
            </w:r>
          </w:p>
          <w:p>
            <w:pPr>
              <w:pStyle w:val="NormalWeb"/>
              <w:widowControl w:val="false"/>
              <w:spacing w:before="28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Ćwiczenia: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u w:val="none" w:color="00000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  <w:u w:val="none" w:color="000000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 w:cs="Arial"/>
                <w:b w:val="false"/>
                <w:bCs/>
                <w:color w:val="auto"/>
                <w:sz w:val="20"/>
                <w:szCs w:val="20"/>
                <w:u w:val="none" w:color="000000"/>
              </w:rPr>
            </w:pPr>
            <w:bookmarkStart w:id="0" w:name="docs-internal-guid-a5886980-7fff-f204-e7"/>
            <w:bookmarkEnd w:id="0"/>
            <w:r>
              <w:rPr>
                <w:rFonts w:cs="Arial" w:ascii="Arial" w:hAnsi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 w:color="000000"/>
                <w:effect w:val="none"/>
                <w:shd w:fill="auto" w:val="clear"/>
              </w:rPr>
              <w:t>Wsparcie psychologiczne- wprowadzenie</w:t>
            </w:r>
            <w:r>
              <w:rPr>
                <w:rFonts w:cs="Arial" w:ascii="Arial" w:hAnsi="Arial"/>
                <w:b w:val="false"/>
                <w:bCs/>
                <w:color w:val="auto"/>
                <w:sz w:val="20"/>
                <w:szCs w:val="20"/>
                <w:u w:val="none" w:color="00000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 w:cs="Arial"/>
                <w:b w:val="false"/>
                <w:bCs/>
                <w:color w:val="auto"/>
                <w:sz w:val="20"/>
                <w:szCs w:val="20"/>
                <w:u w:val="none" w:color="000000"/>
              </w:rPr>
            </w:pPr>
            <w:bookmarkStart w:id="1" w:name="docs-internal-guid-6fd5433e-7fff-2a92-b2"/>
            <w:bookmarkEnd w:id="1"/>
            <w:r>
              <w:rPr>
                <w:rFonts w:cs="Arial" w:ascii="Arial" w:hAnsi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 w:color="000000"/>
                <w:effect w:val="none"/>
                <w:shd w:fill="auto" w:val="clear"/>
              </w:rPr>
              <w:t>Udzielanie wsparcia psychologicznego z wykorzystaniem elementów RTZ cz. 1</w:t>
            </w:r>
            <w:r>
              <w:rPr>
                <w:rFonts w:cs="Arial" w:ascii="Arial" w:hAnsi="Arial"/>
                <w:b w:val="false"/>
                <w:bCs/>
                <w:color w:val="auto"/>
                <w:sz w:val="20"/>
                <w:szCs w:val="20"/>
                <w:u w:val="none" w:color="00000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 w:cs="Arial"/>
                <w:b w:val="false"/>
                <w:bCs/>
                <w:color w:val="auto"/>
                <w:sz w:val="20"/>
                <w:szCs w:val="20"/>
                <w:u w:val="none" w:color="000000"/>
              </w:rPr>
            </w:pPr>
            <w:bookmarkStart w:id="2" w:name="docs-internal-guid-6fd5433e-7fff-2a92-b1"/>
            <w:bookmarkEnd w:id="2"/>
            <w:r>
              <w:rPr>
                <w:rFonts w:cs="Arial" w:ascii="Arial" w:hAnsi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 w:color="000000"/>
                <w:effect w:val="none"/>
                <w:shd w:fill="auto" w:val="clear"/>
              </w:rPr>
              <w:t>Udzielanie wsparcia psychologicznego z wykorzystaniem elementów RTZ cz. 2</w:t>
            </w:r>
            <w:r>
              <w:rPr>
                <w:rFonts w:cs="Arial" w:ascii="Arial" w:hAnsi="Arial"/>
                <w:b w:val="false"/>
                <w:bCs/>
                <w:color w:val="auto"/>
                <w:sz w:val="20"/>
                <w:szCs w:val="20"/>
                <w:u w:val="none" w:color="00000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 w:cs="Arial"/>
                <w:b w:val="false"/>
                <w:bCs/>
                <w:color w:val="auto"/>
                <w:sz w:val="20"/>
                <w:szCs w:val="20"/>
                <w:u w:val="none" w:color="000000"/>
              </w:rPr>
            </w:pPr>
            <w:bookmarkStart w:id="3" w:name="docs-internal-guid-6fd5433e-7fff-2a92-b3"/>
            <w:bookmarkEnd w:id="3"/>
            <w:r>
              <w:rPr>
                <w:rFonts w:cs="Arial" w:ascii="Arial" w:hAnsi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 w:color="000000"/>
                <w:effect w:val="none"/>
                <w:shd w:fill="auto" w:val="clear"/>
              </w:rPr>
              <w:t>Udzielanie wsparcia psychologicznego z wykorzystaniem elementów TSR cz. 1</w:t>
            </w:r>
            <w:r>
              <w:rPr>
                <w:rFonts w:cs="Arial" w:ascii="Arial" w:hAnsi="Arial"/>
                <w:b w:val="false"/>
                <w:bCs/>
                <w:color w:val="auto"/>
                <w:sz w:val="20"/>
                <w:szCs w:val="20"/>
                <w:u w:val="none" w:color="00000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 w:cs="Arial"/>
                <w:b w:val="false"/>
                <w:bCs/>
                <w:color w:val="auto"/>
                <w:sz w:val="20"/>
                <w:szCs w:val="20"/>
                <w:u w:val="none" w:color="000000"/>
              </w:rPr>
            </w:pPr>
            <w:bookmarkStart w:id="4" w:name="docs-internal-guid-6fd5433e-7fff-2a92-b4"/>
            <w:bookmarkEnd w:id="4"/>
            <w:r>
              <w:rPr>
                <w:rFonts w:cs="Arial" w:ascii="Arial" w:hAnsi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 w:color="000000"/>
                <w:effect w:val="none"/>
                <w:shd w:fill="auto" w:val="clear"/>
              </w:rPr>
              <w:t>Udzielanie wsparcia psychologicznego z wykorzystaniem elementów TSR cz. 2</w:t>
            </w:r>
            <w:r>
              <w:rPr>
                <w:rFonts w:cs="Arial" w:ascii="Arial" w:hAnsi="Arial"/>
                <w:b w:val="false"/>
                <w:bCs/>
                <w:color w:val="auto"/>
                <w:sz w:val="20"/>
                <w:szCs w:val="20"/>
                <w:u w:val="none" w:color="00000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 w:cs="Arial"/>
                <w:b w:val="false"/>
                <w:bCs/>
                <w:color w:val="auto"/>
                <w:sz w:val="20"/>
                <w:szCs w:val="20"/>
                <w:u w:val="none" w:color="000000"/>
              </w:rPr>
            </w:pPr>
            <w:bookmarkStart w:id="5" w:name="docs-internal-guid-6fd5433e-7fff-2a92-b5"/>
            <w:bookmarkEnd w:id="5"/>
            <w:r>
              <w:rPr>
                <w:rFonts w:cs="Arial" w:ascii="Arial" w:hAnsi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 w:color="000000"/>
                <w:effect w:val="none"/>
                <w:shd w:fill="auto" w:val="clear"/>
              </w:rPr>
              <w:t>Udzielanie wsparcia psychologicznego z wykorzystaniem elementów dialogu motywującego cz. 1</w:t>
            </w:r>
            <w:r>
              <w:rPr>
                <w:rFonts w:cs="Arial" w:ascii="Arial" w:hAnsi="Arial"/>
                <w:b w:val="false"/>
                <w:bCs/>
                <w:color w:val="auto"/>
                <w:sz w:val="20"/>
                <w:szCs w:val="20"/>
                <w:u w:val="none" w:color="00000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 w:cs="Arial"/>
                <w:b w:val="false"/>
                <w:bCs/>
                <w:color w:val="auto"/>
                <w:sz w:val="20"/>
                <w:szCs w:val="20"/>
                <w:u w:val="none" w:color="000000"/>
              </w:rPr>
            </w:pPr>
            <w:bookmarkStart w:id="6" w:name="docs-internal-guid-6fd5433e-7fff-2a92-b6"/>
            <w:bookmarkEnd w:id="6"/>
            <w:r>
              <w:rPr>
                <w:rFonts w:cs="Arial" w:ascii="Arial" w:hAnsi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 w:color="000000"/>
                <w:effect w:val="none"/>
                <w:shd w:fill="auto" w:val="clear"/>
              </w:rPr>
              <w:t>Udzielanie wsparcia psychologicznego z wykorzystaniem elementów dialogu motywującego cz. 2</w:t>
            </w:r>
            <w:r>
              <w:rPr>
                <w:rFonts w:cs="Arial" w:ascii="Arial" w:hAnsi="Arial"/>
                <w:b w:val="false"/>
                <w:bCs/>
                <w:color w:val="auto"/>
                <w:sz w:val="20"/>
                <w:szCs w:val="20"/>
                <w:u w:val="none" w:color="00000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</w:rPr>
              <w:t>Psychoedukacja jako forma wsparcia psychologicznego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lang w:val="pl-PL"/>
        </w:rPr>
        <w:t>Wykaz literatury podstawowej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38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Tre"/>
              <w:widowControl w:val="false"/>
              <w:tabs>
                <w:tab w:val="clear" w:pos="708"/>
                <w:tab w:val="left" w:pos="743" w:leader="none"/>
              </w:tabs>
              <w:ind w:hanging="12" w:left="1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Wykład (wskazane fragmenty):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28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Teo, T. (2018). Outline of theoretical psychology. Palgrave Macmillan UK. https://doi.org/10.1057/978-1-137-59651-2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Trzópek, J. (2006). </w:t>
            </w:r>
            <w:r>
              <w:rPr>
                <w:rFonts w:cs="Arial" w:ascii="Arial" w:hAnsi="Arial"/>
                <w:sz w:val="20"/>
                <w:szCs w:val="20"/>
              </w:rPr>
              <w:t>Filozofie psychologii: Naturalistyczne i antynaturalistyczne podstawy psychologii współczesnej. WUJ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Sady, W. (2014). Thomas S. Kuhn o nauce normalnej i rewolucjach naukowych W: Spór o racjonalność naukową: od Poincarégo do Laudana. UMK. https://sady.up.krakow.pl/filnauk.sady.kuhn.htm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Bokus, B., &amp; Kosowska, E. (red.) (2018). Człowiek w sytuacji – nie tylko z perspektywy psychologa. Studia inspirowane teorią Tadeusza Tomaszewskiego. Wydawnictwa Uniwersytetu Warszawskiego i SWPS Uniwersytet Humanistycznospołecznego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Kurcz, I., &amp; Kądzielawa, B. (red.) (2002). Psychologia czynności: Nowe perspektywy.Wydawnictwo naukowe Scholar.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Łosiak, W. (2008). Psychologia stresu. Wydawnictwa Akademickie i Profesjonalne.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Cooper, C. L., &amp; Dewe, P. (2004). Stress: A brief history. Blackwell Publishing.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James, R. K. &amp; Gilliland, B. E. (2016). Crisis intervention strategies (8th ed.). </w:t>
            </w:r>
            <w:r>
              <w:rPr>
                <w:rFonts w:cs="Arial" w:ascii="Arial" w:hAnsi="Arial"/>
                <w:sz w:val="20"/>
                <w:szCs w:val="20"/>
              </w:rPr>
              <w:t>Cengage Learning.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Kubacka-Jasiecka, D. (2010). Interwencja kryzysowa: Pomoc w kryzysach psychologicznych. Wydawnictwa Akademickie i Profesjonalne.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Czabała, Cz., &amp; Kluczyńska, S. (red.) (2015). Poradnictwo psychologiczne. Wydawnictwo Naukowe PWN.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Stupak, R., Petryka, K. (w druku). Paternalizm i dyrektywność. Pomiędzy psychoterapią a poradnictwem – próba problematyzacji pojęć i podejść na przykładzie Soterii. Diametros. https://www.researchgate.net/publication/376717149_Paternalizm_i_dyrektywnosc_Pomiedzy_psychoterapia_a_poradnictwem_-_proba_problematyzacji_pojec_i_podejsc_na_przykladzie_Soterii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Seikkula, J. &amp; Arnkil, T. E. (2018). Otwarte dialogi. Antycypacje. Szanowanie Inności. Podejścieterapeutyczne skoncentrowane na sieci społeczne.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WUJ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Gold, S. N., Cook, J. M., &amp; Dalenberg, C. J. (Eds.). (2017). APA handbook of trauma psychology(First edition). American Psychological Association.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Jones, E., &amp; Wessely, S. (2006). Psychological trauma: A historical perspective. Psychiatry, 5(7),217–220. https://doi.org/10.1053/j.mppsy.2006.04.011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Johnstone, L., &amp; Boyle, M., with Cromby, J., Dillon, J., Harper, D., Kinderman, P., Longden, E., Pilgrim, D., &amp; Read, J. (2018). The Power Threat Meaning Framework: Towards the identification of patterns in emotional distress, unusual experiences and troubled or troubling behavior, as an alternative to functional psychiatric diagnosis. Leicester, England: British Psychological Society.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Stupak, R. &amp; Johnstone, L. (2023). Power Threat Meaning Framework – krótki opis podstawowych założeń i kontekstu. Psychoterapia, 206(3), 71-84. https://doi.org/10.12740/PT/176251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Johnstone, L., &amp; Boyle, M., with Cromby, J., Dillon, J., Harper, D., Kinderman, P., Longden, E., Pilgrim, D., &amp; Read, J. (2018). The Power Threat Meaning Framework: Overview. Leicester, England: British Psychological Society.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Karter, J. M. (2019). An ecological model for conceptual competence in psychiatric diagnosis. Journal of Humanistic Psychology, 002216781985248. https://doi.org/10.1177/0022167819852488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Wasserman, D. (Ed.). (2021). Oxford textbook of suicidology and suicide prevention (Second edition). Oxford University Press.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Hołyst, B. (2011). Suicydologia. LexisNexisPolska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Galasiński, D. (2017). Discourses of men’s suicide notes: A qualitative analysis. Bloomsbury Aca-demic.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Worden, J. W. (2018). Grief counseling and grief therapy: A handbook for the mental health practitioner (Fifth edition). Springer Publishing Company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Morrill, Z. (2022, 3. sierpnia). How grief became a disorder and what this means about us: An in-terview with kaori wada. Mad In America. https://www.madinamerica.com/2022/08/how-grief-became-a-disorder-and-what-this-means-for-us-an-interview-with-kaori-wada/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Køster, A., &amp; Kofod, E. H. (Eds.). (2022). Cultural, existential and phenomenological dimensions of grief experience. Routledge, Taylor &amp; Francis Group.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Cooper, M. (2003). Existential therapies. Sage Publications.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Van Deurzen, E. (2010). Everyday mysteries: A handbook of existential psychotherapy (2. ed). </w:t>
            </w:r>
            <w:r>
              <w:rPr>
                <w:rFonts w:cs="Arial" w:ascii="Arial" w:hAnsi="Arial"/>
                <w:sz w:val="20"/>
                <w:szCs w:val="20"/>
              </w:rPr>
              <w:t>Routledge.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40"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Dąbrowski, K. (1979). Dezintegracja pozytywna. Państwowy Instytut Wydawniczy.</w:t>
            </w:r>
          </w:p>
          <w:p>
            <w:pPr>
              <w:pStyle w:val="Tre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743" w:leader="none"/>
              </w:tabs>
              <w:spacing w:lineRule="auto" w:line="240"/>
              <w:rPr/>
            </w:pPr>
            <w:r>
              <w:rPr>
                <w:rFonts w:cs="Arial" w:ascii="Arial" w:hAnsi="Arial"/>
                <w:sz w:val="20"/>
                <w:szCs w:val="20"/>
              </w:rPr>
              <w:t>Dąbrowski, K. (1986). Trud istnienia. Wiedza Powszechna.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743" w:leader="none"/>
              </w:tabs>
              <w:ind w:hanging="12" w:left="12"/>
              <w:rPr/>
            </w:pPr>
            <w:r>
              <w:rPr/>
            </w:r>
          </w:p>
          <w:p>
            <w:pPr>
              <w:pStyle w:val="Tre"/>
              <w:widowControl w:val="false"/>
              <w:tabs>
                <w:tab w:val="clear" w:pos="708"/>
                <w:tab w:val="left" w:pos="743" w:leader="none"/>
              </w:tabs>
              <w:ind w:hanging="12"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Ćwiczenia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743" w:leader="none"/>
              </w:tabs>
              <w:ind w:hanging="12"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re"/>
              <w:widowControl w:val="false"/>
              <w:tabs>
                <w:tab w:val="clear" w:pos="708"/>
                <w:tab w:val="left" w:pos="743" w:leader="none"/>
              </w:tabs>
              <w:ind w:hanging="12"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1. </w:t>
            </w:r>
            <w:bookmarkStart w:id="7" w:name="docs-internal-guid-fd87af65-7fff-1ecd-d2"/>
            <w:bookmarkEnd w:id="7"/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z w:val="20"/>
                <w:szCs w:val="20"/>
                <w:u w:val="none" w:color="000000"/>
                <w:effect w:val="none"/>
                <w:shd w:fill="FFFFFF" w:val="clear"/>
              </w:rPr>
              <w:t xml:space="preserve">Rogiewicz, M. (2015). Praktyczny podręcznik psychoonkologii dorosłych. Aneks 1 (s.347-358).  </w:t>
            </w:r>
            <w:r>
              <w:rPr>
                <w:rFonts w:ascii="Arial;sans-serif" w:hAnsi="Arial;sans-serif"/>
                <w:b w:val="false"/>
                <w:i/>
                <w:caps w:val="false"/>
                <w:smallCaps w:val="false"/>
                <w:strike w:val="false"/>
                <w:dstrike w:val="false"/>
                <w:color w:val="222222"/>
                <w:sz w:val="20"/>
                <w:u w:val="none" w:color="000000"/>
                <w:effect w:val="none"/>
                <w:shd w:fill="FFFFFF" w:val="clear"/>
              </w:rPr>
              <w:t>Medycyna Praktyczna.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743" w:leader="none"/>
              </w:tabs>
              <w:ind w:hanging="12"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re"/>
              <w:widowControl w:val="false"/>
              <w:tabs>
                <w:tab w:val="clear" w:pos="708"/>
                <w:tab w:val="left" w:pos="743" w:leader="none"/>
              </w:tabs>
              <w:ind w:hanging="12"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;sans-serif" w:hAnsi="Arial;sans-serif"/>
                <w:b w:val="false"/>
                <w:i/>
                <w:caps w:val="false"/>
                <w:smallCaps w:val="false"/>
                <w:strike w:val="false"/>
                <w:dstrike w:val="false"/>
                <w:color w:val="222222"/>
                <w:sz w:val="20"/>
                <w:u w:val="none" w:color="000000"/>
                <w:effect w:val="none"/>
                <w:shd w:fill="FFFFFF" w:val="clear"/>
              </w:rPr>
              <w:t xml:space="preserve">2.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u w:val="none" w:color="000000"/>
                <w:effect w:val="none"/>
                <w:shd w:fill="FFFFFF" w:val="clear"/>
              </w:rPr>
              <w:t>Wirga, M., DeBernardi, M., Wirga, A., Wirga, M. L., Banout, M., Fuller, O. G. (2020). Maultsby’s rational behavior therapy: background, description, practical applications, and recent developments. </w:t>
            </w:r>
            <w:r>
              <w:rPr>
                <w:rFonts w:ascii="Arial;sans-serif" w:hAnsi="Arial;sans-serif"/>
                <w:b w:val="false"/>
                <w:i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u w:val="none" w:color="000000"/>
                <w:effect w:val="none"/>
                <w:shd w:fill="FFFFFF" w:val="clear"/>
              </w:rPr>
              <w:t>Journal of Rational-Emotive &amp; Cognitive-Behavior Therapy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u w:val="none" w:color="000000"/>
                <w:effect w:val="none"/>
                <w:shd w:fill="FFFFFF" w:val="clear"/>
              </w:rPr>
              <w:t>, </w:t>
            </w:r>
            <w:r>
              <w:rPr>
                <w:rFonts w:ascii="Arial;sans-serif" w:hAnsi="Arial;sans-serif"/>
                <w:b w:val="false"/>
                <w:i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u w:val="none" w:color="000000"/>
                <w:effect w:val="none"/>
                <w:shd w:fill="FFFFFF" w:val="clear"/>
              </w:rPr>
              <w:t>38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u w:val="none" w:color="000000"/>
                <w:effect w:val="none"/>
                <w:shd w:fill="FFFFFF" w:val="clear"/>
              </w:rPr>
              <w:t>, 399-423.</w:t>
            </w:r>
            <w:r>
              <w:rPr>
                <w:rFonts w:ascii="Arial;sans-serif" w:hAnsi="Arial;sans-serif"/>
                <w:b w:val="false"/>
                <w:i/>
                <w:caps w:val="false"/>
                <w:smallCaps w:val="false"/>
                <w:strike w:val="false"/>
                <w:dstrike w:val="false"/>
                <w:color w:val="222222"/>
                <w:sz w:val="20"/>
                <w:u w:val="none" w:color="000000"/>
                <w:effect w:val="none"/>
                <w:shd w:fill="FFFFFF" w:val="clear"/>
              </w:rPr>
              <w:t xml:space="preserve"> 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743" w:leader="none"/>
              </w:tabs>
              <w:ind w:hanging="12"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BodyText"/>
              <w:widowControl w:val="false"/>
              <w:bidi w:val="0"/>
              <w:spacing w:lineRule="auto" w:line="331" w:before="0" w:after="0"/>
              <w:ind w:hanging="0" w:left="0" w:right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z w:val="20"/>
                <w:u w:val="none" w:color="000000"/>
                <w:effect w:val="none"/>
                <w:shd w:fill="FFFFFF" w:val="clear"/>
              </w:rPr>
              <w:t xml:space="preserve">3. Kosman, T. (2013). Założenia terapii skoncentrowanej na rozwiązaniach (TSR). </w:t>
            </w:r>
            <w:r>
              <w:rPr>
                <w:rFonts w:ascii="Arial;sans-serif" w:hAnsi="Arial;sans-serif"/>
                <w:b w:val="false"/>
                <w:i/>
                <w:caps w:val="false"/>
                <w:smallCaps w:val="false"/>
                <w:strike w:val="false"/>
                <w:dstrike w:val="false"/>
                <w:color w:val="222222"/>
                <w:sz w:val="20"/>
                <w:u w:val="none" w:color="000000"/>
                <w:effect w:val="none"/>
                <w:shd w:fill="FFFFFF" w:val="clear"/>
              </w:rPr>
              <w:t>Warmińsko-Mazurski</w:t>
            </w:r>
          </w:p>
          <w:p>
            <w:pPr>
              <w:pStyle w:val="BodyText"/>
              <w:widowControl w:val="false"/>
              <w:bidi w:val="0"/>
              <w:spacing w:lineRule="auto" w:line="331" w:before="0" w:after="0"/>
              <w:ind w:hanging="0" w:left="0" w:right="0"/>
              <w:rPr/>
            </w:pPr>
            <w:r>
              <w:rPr>
                <w:rFonts w:ascii="Arial;sans-serif" w:hAnsi="Arial;sans-serif"/>
                <w:b w:val="false"/>
                <w:i/>
                <w:caps w:val="false"/>
                <w:smallCaps w:val="false"/>
                <w:strike w:val="false"/>
                <w:dstrike w:val="false"/>
                <w:color w:val="222222"/>
                <w:sz w:val="20"/>
                <w:u w:val="none" w:color="000000"/>
                <w:effect w:val="none"/>
                <w:shd w:fill="FFFFFF" w:val="clear"/>
              </w:rPr>
              <w:t>Kwartalnik Naukowy, Nauki Społeczne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z w:val="20"/>
                <w:u w:val="none" w:color="000000"/>
                <w:effect w:val="none"/>
                <w:shd w:fill="FFFFFF" w:val="clear"/>
              </w:rPr>
              <w:t>, (1), 9-26.</w:t>
            </w:r>
            <w:r>
              <w:rPr/>
              <w:t xml:space="preserve"> </w:t>
            </w:r>
          </w:p>
          <w:p>
            <w:pPr>
              <w:pStyle w:val="BodyText"/>
              <w:widowControl w:val="false"/>
              <w:rPr>
                <w:rFonts w:ascii="Arial;sans-serif" w:hAnsi="Arial;sans-serif" w:cs="Arial Unicode MS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4"/>
                <w:u w:val="non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4"/>
                <w:u w:val="non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4. </w:t>
            </w:r>
            <w:bookmarkStart w:id="8" w:name="docs-internal-guid-ff03b686-7fff-cc9b-51"/>
            <w:bookmarkEnd w:id="8"/>
            <w:r>
              <w:rPr>
                <w:rFonts w:cs="Arial Unicode MS"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szCs w:val="24"/>
                <w:u w:val="none" w:color="000000"/>
                <w:effect w:val="none"/>
                <w:shd w:fill="FFFFFF" w:val="clea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 Jong, P., Kim Berg, I. (2007). </w:t>
            </w:r>
            <w:r>
              <w:rPr>
                <w:rFonts w:cs="Arial Unicode MS" w:ascii="Arial;sans-serif" w:hAnsi="Arial;sans-serif"/>
                <w:b w:val="false"/>
                <w:i/>
                <w:iCs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szCs w:val="24"/>
                <w:u w:val="none" w:color="000000"/>
                <w:effect w:val="none"/>
                <w:shd w:fill="FFFFFF" w:val="clea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Rozmowy o rozwiązaniach </w:t>
            </w:r>
            <w:r>
              <w:rPr>
                <w:rFonts w:cs="Arial Unicode MS"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szCs w:val="24"/>
                <w:u w:val="none" w:color="000000"/>
                <w:effect w:val="none"/>
                <w:shd w:fill="FFFFFF" w:val="clea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(s.13-32). Księgarnia Akademicka. </w:t>
            </w:r>
          </w:p>
          <w:p>
            <w:pPr>
              <w:pStyle w:val="BodyText"/>
              <w:widowControl w:val="false"/>
              <w:rPr>
                <w:rFonts w:ascii="Arial;sans-serif" w:hAnsi="Arial;sans-serif" w:cs="Arial Unicode MS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4"/>
                <w:u w:val="non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4"/>
                <w:u w:val="non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5. </w:t>
            </w:r>
            <w:bookmarkStart w:id="9" w:name="docs-internal-guid-230b9269-7fff-c3e1-73"/>
            <w:bookmarkEnd w:id="9"/>
            <w:r>
              <w:rPr>
                <w:rFonts w:cs="Arial Unicode MS"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szCs w:val="24"/>
                <w:u w:val="none" w:color="000000"/>
                <w:effect w:val="none"/>
                <w:shd w:fill="FFFFFF" w:val="clea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Miller, W. R., Arkowitz, H. (2017). Uczenie się dialogu motywującego, korzystanie z niego i rozszerzanie jego zastosowań. W: H. Arkowitz, W.R.  Miller, S.Rollnick. (red.),  </w:t>
            </w:r>
            <w:r>
              <w:rPr>
                <w:rFonts w:cs="Arial Unicode MS" w:ascii="Arial;sans-serif" w:hAnsi="Arial;sans-serif"/>
                <w:b w:val="false"/>
                <w:i/>
                <w:iCs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szCs w:val="24"/>
                <w:u w:val="none" w:color="000000"/>
                <w:effect w:val="none"/>
                <w:shd w:fill="FFFFFF" w:val="clea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Dialog motywujący w terapii problemów psychologicznych</w:t>
            </w:r>
            <w:r>
              <w:rPr>
                <w:rFonts w:cs="Arial Unicode MS"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0"/>
                <w:szCs w:val="24"/>
                <w:u w:val="none" w:color="000000"/>
                <w:effect w:val="none"/>
                <w:shd w:fill="FFFFFF" w:val="clea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(s. 17-54). Wydawnictwo Uniwersytetu Jagiellońskiego.</w:t>
            </w:r>
            <w:r>
              <w:rPr>
                <w:rFonts w:cs="Arial Unicode MS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4"/>
                <w:u w:val="non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>
            <w:pPr>
              <w:pStyle w:val="BodyText"/>
              <w:widowControl w:val="false"/>
              <w:spacing w:before="0" w:after="140"/>
              <w:rPr>
                <w:rFonts w:ascii="Arial" w:hAnsi="Arial" w:cs="Arial"/>
                <w:sz w:val="20"/>
                <w:szCs w:val="20"/>
              </w:rPr>
            </w:pPr>
            <w:r>
              <w:rPr/>
              <w:t xml:space="preserve">6.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Majewicz, P., Wolny, J. (2017). Psychoedukacja jako płaszczyzna integracji działań psychologicznych, psychiatrycznych oraz pedagogicznych. </w:t>
            </w:r>
            <w:r>
              <w:rPr>
                <w:rFonts w:ascii="Arial;sans-serif" w:hAnsi="Arial;sans-serif"/>
                <w:b w:val="false"/>
                <w:i/>
                <w:color w:val="222222"/>
                <w:spacing w:val="0"/>
                <w:sz w:val="20"/>
              </w:rPr>
              <w:t>Humanum. Międzynarodowe Studia Społeczno-Humanistyczne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, 3 (26), 29-48.</w:t>
            </w:r>
            <w:r>
              <w:rPr/>
              <w:t xml:space="preserve"> 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lang w:val="pl-PL"/>
        </w:rPr>
        <w:t>Wykaz literatury uzupełniającej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52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Wykład</w:t>
            </w:r>
            <w:r>
              <w:rPr>
                <w:rFonts w:cs="Arial" w:ascii="Arial" w:hAnsi="Arial"/>
              </w:rPr>
              <w:t>: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28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Kępiński, A. (2002). Poznanie chorego. Wydawnictwo Literackie.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Kałwak, W. i Opoczyńska-Morasiewicz, M. (2014). Nomotetyzm i idiografizm w psychologii: spór normy z rzeczywistością? W: Opoczyńska, M. (red.) Poza zasadą powszechności: próby idiograficzne. WUJ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Alechnowicz-Skrzypek, I. (2016). Rozumienie i wyjaśnianie jako metody poznania człowieka w psychopatologii i psychologii światopoglądów Karla Jaspersa. Przegląd filozoficzny - Nowa Seria, 2(98), 367-378.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Brykczyński, M. (2018). Thomas Kuhn i paradoksy nauki. Teologia Polityczna.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Good, J. M. M. (2000).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Disciplining social psychology: A case study of boundary relations in the history of the human sciences. Journal of the History of the Behavioral Sciences, 36(4), 383–403. https://doi.org/10.1002/1520-6696(200023)36:4&lt;383::AID-JHBS6&gt;3.0.CO;2-L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Karaszewska, H., &amp; Silecka-Marek, E. (red.) (2016). Sytuacje trudne w perspektywie jednostkowej i społecznej. Wydawnictwo Naukowe UAM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Kurcz, I, &amp; Reykowski, J. (1975). Studia nad teorią czynności ludzkich. PWN.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Tomaszewski, T. (1993). Układ referencyjny czynności pomagania. Chowanna, 1, 16-28.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Łukaszewski, W. (2015). Koncepcje sytuacji trudnych: krok naprzód,czy krok wstecz? Czasopismo Psychologiczne, 21(1), 33–38. https://doi.org/10.14691/CPPJ.21.1.33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Heszen, I. (2013). Psychologia stresu: Korzystne i niekorzystne skutki stresu życiowego. Wydawnictwo Naukowe PWN.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Terelak, J. F. (2001). Psychologia stresu. Oficyna Wydawnicza Branta.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Folkman, S. (red.)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(2011). The Oxford Handbook of Stress, Health and Coping. Oxford University Press.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Okuń, B. F. (2002). </w:t>
            </w:r>
            <w:r>
              <w:rPr>
                <w:rFonts w:cs="Arial" w:ascii="Arial" w:hAnsi="Arial"/>
                <w:sz w:val="20"/>
                <w:szCs w:val="20"/>
              </w:rPr>
              <w:t>Skuteczna pomoc psychologiczna. Instytut Psychologii Zdrowia, Polskie Towarzystwo Psychologiczne.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Badura-Madej, W. (red) (1999). Wybrane zagadnienia interwencji kryzysowej. Poradnik dla pracowników socjalnych. Wydawnictwo Uniwersytetu Śląskiego.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Pilecka, B. (2004). Kryzys psychologiczny. Wybrane zagadnienia. WUJ.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Roberts, A. R. (red.).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(2005). Crisis intervention handbook: Assessment, treatment, and research (3rd ed.). Oxford University Press.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Black, L. L. &amp; Flynn, S. V. (2021). Crisis, trauma and disaster: A clinician's guide. SAGE.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Poal, P. (2009). Introduction to the theory and practice of crisis intervention. Quaderns de Psicologia, (19), 121. https://doi.org/10.5565/rev/qpsicologia.609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Schlossberg, N. K. (1981). A model for analyzing human adaptation to transition. The Counseling Psychologist, 9(2), 2–18. https://doi.org/10.1177/001100008100900202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Seikkula, B. A., &amp; Jukka, A. J. (2001).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Open Dialogue in psychosis I: An introduction and case illustration. Journal of Constructivist Psychology, 14(4), 247–265. https://doi.org/10.1080/10720530125965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Seikkula, J., Alakare, B., &amp; Aaltonen, J. (2011). The Comprehensive Open-Dialogue Approach in Western Lapland: II. Long-term stability of acute psychosis outcomes in advanced community care. Psychosis, 3(3), 192–204. https://doi.org/10.1080/17522439.2011.595819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Sanders, P., Williams, P. J., &amp; Rogers Andy. (2021). First steps in counselling: An introductory companion (5th edition). PCCS Books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Cooper, M., &amp; Dryden, W. (red). (2016). The handbook of pluralistic counselling and psychotherapy. </w:t>
            </w:r>
            <w:r>
              <w:rPr>
                <w:rFonts w:cs="Arial" w:ascii="Arial" w:hAnsi="Arial"/>
                <w:sz w:val="20"/>
                <w:szCs w:val="20"/>
              </w:rPr>
              <w:t>SAGE.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Van der Kolk, B. (2018). Strach ucieleśniony: Mózg, umysł i ciało w terapii traumy.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Czarna Owca.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Van der Kolk, B. A., Herron, N., &amp; Hostetler, A. (1994). The history of trauma in psychiatry. The Psychiatric Clinics of North America, 17(3), 583–600.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Crocq, M.-A., &amp; Crocq, L. (2000). From shell shock and war neurosis to posttraumatic stress disorder: A history of psychotraumatology. Dialogues in Clinical Neuroscience, 2(1), 47–55. https://doi.org/10.31887/DCNS.2000.2.1/macrocq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Maté, G., &amp; Maté, D. (2022). The myth of normal: Trauma, illness, &amp; healing in a toxic culture. Avery.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Taylor, D. J. (2022). Sexy but psycho: How the patriarchy uses women’s trauma against them. Constable.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Boyle, M., &amp; Johnstone, L. (2020). A straight talking introduction to the power threat meaning framework: An alternative to psychiatric diagnosis. PCCS Books.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Johnstone, L., &amp; Boyle, M. (2018). The power threat meaning framework: An alternative nondiagnostic conceptual system. Journal of Humanistic Psychology, 002216781879328. https://doi.org/10.1177/0022167818793289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Morgan, G., Barnwell, G., Johnstone, L., Shukla, K., &amp; Mitchell, A. (2022). The power threat meaning framework and the climate and ecological crises. PINS-Psychology in Society, 63(1), 83–109. https://doi.org/10.57157/pins2022Vol63iss1a5444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Journal of Constructivist Psychology, Volume 35, Issue 1 (2022), Special Section: The Power Threat Meaning Framework https://www.tandfonline.com/toc/upcy20/35/1?nav=tocList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Raskin, J. D., Maynard, D., &amp; Gayle, M. C. (2022). Psychologist attitudes toward DSM-5 and its alternatives. Professional Psychology: Research and Practice, 53(6), 553–563. https://doi.org/10.1037/pro0000480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Stupak, R., &amp; Dobroczyński, B. (2021). From mental health industry to humane care. Suggestions for an alternative systemic approach to distress. International Journal of Environmental Research and Public Health, 18(12), 6625. https://doi.org/10.3390/ijerph18126625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Rodziński, P., Rutkowski, K., &amp; Ostachowska, A. (2017).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Progression of suicidal ideation to suicidal behavior from a perspective of selected suicidological models. </w:t>
            </w:r>
            <w:r>
              <w:rPr>
                <w:rFonts w:cs="Arial" w:ascii="Arial" w:hAnsi="Arial"/>
                <w:sz w:val="20"/>
                <w:szCs w:val="20"/>
              </w:rPr>
              <w:t>Psychiatria Polska, 51(3), 515–530. https://doi.org/10.12740/PP/63984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Barzilay, S., &amp; Apter, A. (2014).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Psychological models of suicide. Archives of Suicide Research, 18(4), 295–312. https://doi.org/10.1080/13811118.2013.824825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Hołyst, B. (red.) (2018). Zapobieganie samobójstwom: Imperatyw ogólnoświatowy. IPiN.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Michalska-Suchanek, M. (2011). Fenomen samobójstwa: długa historia krótko opisana. Instytut Mikołowski.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Morasiewicz, J. (2014). „Przyjdzie śmierć i będzie miała twoje oczy”. Doświadczenie samobójstwa w pracy psychiatry, W: Opoczyńska-Morasiewicz, M. (red.) Poza zasadą powszechności : próby idiograficzne. WUJ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White, J. H., Marsh, I., Kral, M. J., &amp; Morris, J. (Eds.). (2016). Critical suicidology: Transforming suicide research and prevention for the 21st century. UBC Press.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Jacobsen, B. (2007). Invitation to existential psychology: A psychology for the unique human being and its applications in therapy. John Wiley &amp; Sons Ltd.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Spinelli, E. (2005). The interpreted world: An introduction to phenomenological psychology (2nd ed). SAGE.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Yalom, I. D. (2020). Existential psychotherapy. Hachette UK.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Winston, C. N. (2015). Points of convergence and divergence between existential and humanistic psychology: A few observations. The Humanistic Psychologist, 43(1), 40–53. https://doi.org/10.1080/08873267.2014.993067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Halling, S., &amp; Dearborn Nill, J. (1995). A brief history of existential—Phenomenological psychiatry and psychotherapy. Journal of Phenomenological Psychology, 26(1), 1–45. https://doi.org/10.1163/156916295X00024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Kapusta, A. (2010). </w:t>
            </w:r>
            <w:r>
              <w:rPr>
                <w:rFonts w:cs="Arial" w:ascii="Arial" w:hAnsi="Arial"/>
                <w:sz w:val="20"/>
                <w:szCs w:val="20"/>
              </w:rPr>
              <w:t>Szaleństwo i metoda. Granice rozumienia w filozofii i psychiatrii. Wydawnictwo UMCS.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Opoczyńska, M. (2004). Wprowadzenie do psychologii egzystencjalnej (Wyd. 2). Wydaw. Uniwersytetu Jagiellońskiego.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>Gałdowa, A. (2005). Psychologiczne i egzystencjalne problemy człowieka dorosłego. Wydawnictwo Uniwersytetu Jagiellońskiego.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Dąbrowski, K., Kawczak, A., &amp; Piechowski, M. M. (1970).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Mental growth through positive disintegration. London, UK: Gryf Publications.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Dąbrowski, K. (1964). Positive disintegration. Little, Brown and Company.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119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Dąbrowski, K., &amp; Tillier, W. (2016). Positive disintegration. Maurice Bassett.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Stupak, R., &amp; Dyga, K. (2018). Postpsychiatry and postmodern psychotherapy: Theoretical and ethical issues in mental health care in a Polish context. Theory &amp; Psychology, 28(6), 780–799. https://doi.org/10.1177/0959354318802973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Ahsan, S. (2022, 6. września).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I’m a psychologist – and I believe we’ve been told devastating lies about mental health.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en-US"/>
              </w:rPr>
              <w:t>The Guardian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. https://www.theguardian.com/commentisfree/2022/sep/06/psychologist-devastating-lies-mental-health-problems-politics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Aleksandrowicz, A., Banicki, K., Dobroczyński, B., Morasiewicz, J., Opoczyńska–Morasiewicz, M., Prusak, J., Sikora, K., &amp; Wróbel, Sz. (2007). Etyka w psychoterapii.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Diametros</w:t>
            </w:r>
            <w:r>
              <w:rPr>
                <w:rFonts w:cs="Arial" w:ascii="Arial" w:hAnsi="Arial"/>
                <w:sz w:val="20"/>
                <w:szCs w:val="20"/>
              </w:rPr>
              <w:t>. https://diametros.uj.edu.pl/serwis/?l=1&amp;p=deb6&amp;m=43</w:t>
            </w:r>
          </w:p>
          <w:p>
            <w:pPr>
              <w:pStyle w:val="PlainText"/>
              <w:widowControl w:val="false"/>
              <w:numPr>
                <w:ilvl w:val="0"/>
                <w:numId w:val="0"/>
              </w:numPr>
              <w:suppressAutoHyphens w:val="false"/>
              <w:ind w:hanging="0" w:left="7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Ćwiczenia:</w:t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22222"/>
              </w:rPr>
              <w:t xml:space="preserve">1. 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Jaroszewski, M. (2014). Miejsce pojęcia „wsparcie psychologiczne” w słowniku zawodowym psychologów i pedagogów praktyków. </w:t>
            </w:r>
            <w:r>
              <w:rPr>
                <w:rFonts w:cs="Arial" w:ascii="Arial;sans-serif" w:hAnsi="Arial;sans-serif"/>
                <w:b w:val="false"/>
                <w:i/>
                <w:color w:val="222222"/>
                <w:spacing w:val="0"/>
                <w:sz w:val="20"/>
              </w:rPr>
              <w:t>Warmińsko-Mazurski Kwartalnik Naukowy, Nauki Społeczne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, (1), 71-84.</w:t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2</w:t>
            </w:r>
            <w:r>
              <w:rPr>
                <w:rFonts w:cs="Arial" w:ascii="Arial" w:hAnsi="Arial"/>
                <w:color w:val="222222"/>
              </w:rPr>
              <w:t xml:space="preserve">. 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Miller, W. R., Rose, G. S. (2009). Toward a theory of motivational interviewing. </w:t>
            </w:r>
            <w:r>
              <w:rPr>
                <w:rFonts w:cs="Arial" w:ascii="Arial;sans-serif" w:hAnsi="Arial;sans-serif"/>
                <w:b w:val="false"/>
                <w:i/>
                <w:color w:val="222222"/>
                <w:spacing w:val="0"/>
                <w:sz w:val="20"/>
              </w:rPr>
              <w:t>American psychologist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, </w:t>
            </w:r>
            <w:r>
              <w:rPr>
                <w:rFonts w:cs="Arial" w:ascii="Arial;sans-serif" w:hAnsi="Arial;sans-serif"/>
                <w:b w:val="false"/>
                <w:i/>
                <w:color w:val="222222"/>
                <w:spacing w:val="0"/>
                <w:sz w:val="20"/>
              </w:rPr>
              <w:t>64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(6), 527-537.</w:t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3. Olney, M. F., Gagne, L., White, M., Bennett, M., Evans, C. (2009). Effective counseling methods for rehabilitation counselors: Motivational interviewing and solution-focused therapy. </w:t>
            </w:r>
            <w:r>
              <w:rPr>
                <w:rFonts w:cs="Arial" w:ascii="Arial;sans-serif" w:hAnsi="Arial;sans-serif"/>
                <w:b w:val="false"/>
                <w:i/>
                <w:caps w:val="false"/>
                <w:smallCaps w:val="false"/>
                <w:color w:val="222222"/>
                <w:spacing w:val="0"/>
                <w:sz w:val="20"/>
              </w:rPr>
              <w:t>Rehabilitation Research, Policy, and Education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, </w:t>
            </w:r>
            <w:r>
              <w:rPr>
                <w:rFonts w:cs="Arial" w:ascii="Arial;sans-serif" w:hAnsi="Arial;sans-serif"/>
                <w:b w:val="false"/>
                <w:i/>
                <w:caps w:val="false"/>
                <w:smallCaps w:val="false"/>
                <w:color w:val="222222"/>
                <w:spacing w:val="0"/>
                <w:sz w:val="20"/>
              </w:rPr>
              <w:t>23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(4), 233-244.</w:t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22222"/>
              </w:rPr>
              <w:t xml:space="preserve">4. 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Trepper, T. S., McCollum, E. E., De Jong, P., Korman, H., Gingerich, W., &amp; Franklin, C. (2010). Solution-focused therapy treatment manual for working with individuals. </w:t>
            </w:r>
            <w:r>
              <w:rPr>
                <w:rFonts w:cs="Arial" w:ascii="Arial;sans-serif" w:hAnsi="Arial;sans-serif"/>
                <w:b w:val="false"/>
                <w:i/>
                <w:caps w:val="false"/>
                <w:smallCaps w:val="false"/>
                <w:color w:val="222222"/>
                <w:spacing w:val="0"/>
                <w:sz w:val="20"/>
              </w:rPr>
              <w:t>Solution-focused brief therapy: A multicultural approach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, 14-31.</w:t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 xml:space="preserve">5. 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Wirga, M., DeBernardi, M. (2002). The ABCs of cognition, emotion, and action. </w:t>
            </w:r>
            <w:r>
              <w:rPr>
                <w:rFonts w:cs="Arial" w:ascii="Arial;sans-serif" w:hAnsi="Arial;sans-serif"/>
                <w:b w:val="false"/>
                <w:i/>
                <w:color w:val="222222"/>
                <w:spacing w:val="0"/>
                <w:sz w:val="20"/>
              </w:rPr>
              <w:t>Archives of Psychiatry and Psychotherapy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, </w:t>
            </w:r>
            <w:r>
              <w:rPr>
                <w:rFonts w:cs="Arial" w:ascii="Arial;sans-serif" w:hAnsi="Arial;sans-serif"/>
                <w:b w:val="false"/>
                <w:i/>
                <w:color w:val="222222"/>
                <w:spacing w:val="0"/>
                <w:sz w:val="20"/>
              </w:rPr>
              <w:t>4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(1), 5-16.</w:t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PlainText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6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 xml:space="preserve">.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 xml:space="preserve"> 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 xml:space="preserve">Wirga, M., Maultsby Jr., M.C., DeBernardi, M. (2023). </w:t>
            </w:r>
            <w:r>
              <w:rPr>
                <w:rFonts w:cs="Arial" w:ascii="Arial;sans-serif" w:hAnsi="Arial;sans-serif"/>
                <w:b w:val="false"/>
                <w:i/>
                <w:iCs/>
                <w:caps w:val="false"/>
                <w:smallCaps w:val="false"/>
                <w:color w:val="222222"/>
                <w:spacing w:val="0"/>
                <w:sz w:val="20"/>
              </w:rPr>
              <w:t>ABC Twoich Emocji. Poradnik.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 xml:space="preserve"> </w:t>
            </w:r>
            <w:r>
              <w:rPr>
                <w:rFonts w:cs="Arial" w:ascii="Slate W02 Light;sans-serif" w:hAnsi="Slate W02 Light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Wydawnictwo Dominika Księskiego Wulkan</w:t>
            </w: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 xml:space="preserve"> 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rFonts w:ascii="Arial" w:hAnsi="Arial"/>
          <w:lang w:val="pl-PL"/>
        </w:rPr>
        <w:t>Bilans godzinowy zgodny z CNPS (Całkowity Nakład Pracy Studenta)</w:t>
      </w:r>
    </w:p>
    <w:p>
      <w:pPr>
        <w:pStyle w:val="Normalny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tbl>
      <w:tblPr>
        <w:tblW w:w="958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766"/>
        <w:gridCol w:w="5748"/>
        <w:gridCol w:w="1068"/>
      </w:tblGrid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uppressAutoHyphens w:val="true"/>
              <w:spacing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Ilość godzin w kontakcie z prowadzącymi</w:t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uppressAutoHyphens w:val="true"/>
              <w:spacing w:before="0" w:after="0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Wykład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</w:tr>
      <w:tr>
        <w:trPr>
          <w:trHeight w:val="223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uppressAutoHyphens w:val="true"/>
              <w:spacing w:before="0" w:after="0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Konwersatorium (ćwiczenia, laboratorium itd.)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uppressAutoHyphens w:val="true"/>
              <w:spacing w:before="0" w:after="0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Pozostałe godziny kontaktu studenta z prowadzącym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uppressAutoHyphens w:val="true"/>
              <w:spacing w:before="0" w:after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Ilość godzin pracy studenta bez kontaktu z prowadzącymi</w:t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uppressAutoHyphens w:val="true"/>
              <w:spacing w:before="0" w:after="0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Lektura w ramach przygotowania do zajęć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>
        <w:trPr>
          <w:trHeight w:val="55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uppressAutoHyphens w:val="true"/>
              <w:spacing w:before="0" w:after="0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krótkiej pracy pisemnej lub referatu po zapoznaniu się z niezbędną literaturą przedmiotu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571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uppressAutoHyphens w:val="true"/>
              <w:spacing w:before="0" w:after="0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projektu lub prezentacji na podany temat (praca w grupie)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25</w:t>
            </w:r>
          </w:p>
        </w:tc>
      </w:tr>
      <w:tr>
        <w:trPr>
          <w:trHeight w:val="397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uppressAutoHyphens w:val="true"/>
              <w:spacing w:before="0" w:after="0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do egzaminu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25</w:t>
            </w:r>
          </w:p>
        </w:tc>
      </w:tr>
      <w:tr>
        <w:trPr>
          <w:trHeight w:val="223" w:hRule="atLeast"/>
        </w:trPr>
        <w:tc>
          <w:tcPr>
            <w:tcW w:w="851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suppressAutoHyphens w:val="true"/>
              <w:spacing w:before="0" w:after="0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Ogółem bilans czasu pracy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</w:tr>
      <w:tr>
        <w:trPr>
          <w:trHeight w:val="232" w:hRule="atLeast"/>
        </w:trPr>
        <w:tc>
          <w:tcPr>
            <w:tcW w:w="851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suppressAutoHyphens w:val="true"/>
              <w:spacing w:before="0" w:after="0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Ilość punktów ECTS w zależności od przyjętego przelicznika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</w:tbl>
    <w:p>
      <w:pPr>
        <w:pStyle w:val="Normalny"/>
        <w:widowControl w:val="false"/>
        <w:suppressAutoHyphens w:val="true"/>
        <w:spacing w:lineRule="auto" w:line="240" w:before="0" w:after="0"/>
        <w:rPr>
          <w:lang w:val="pl-PL"/>
        </w:rPr>
      </w:pPr>
      <w:r>
        <w:rPr>
          <w:lang w:val="pl-PL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454" w:top="1258" w:footer="709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Slate W02 Light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lang w:val="pl-PL"/>
      </w:rPr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lang w:val="pl-PL"/>
      </w:rPr>
      <w:t>11</w:t>
    </w:r>
    <w:r>
      <w:rPr>
        <w:lang w:val="pl-P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before="0" w:after="200"/>
      <w:ind w:firstLine="708" w:left="1416" w:right="0"/>
      <w:jc w:val="right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2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8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4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0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6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2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8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4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0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pl-PL" w:eastAsia="en-US" w:bidi="ar-SA"/>
    </w:rPr>
  </w:style>
  <w:style w:type="paragraph" w:styleId="Heading1">
    <w:name w:val="Heading 1"/>
    <w:next w:val="Normalny"/>
    <w:qFormat/>
    <w:pPr>
      <w:keepNext w:val="tru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right"/>
      <w:outlineLvl w:val="0"/>
    </w:pPr>
    <w:rPr>
      <w:rFonts w:ascii="Arial" w:hAnsi="Arial" w:eastAsia="Arial Unicode MS" w:cs="Arial Unicode MS"/>
      <w:b w:val="false"/>
      <w:bCs w:val="false"/>
      <w:i/>
      <w:iCs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76" w:beforeAutospacing="0" w:before="0" w:afterAutospacing="0" w:after="200"/>
      <w:ind w:hanging="0" w:left="0" w:right="0"/>
      <w:jc w:val="both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200"/>
      <w:ind w:hanging="0" w:left="0" w:right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Styltabeli2">
    <w:name w:val="Styl tabeli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Gwkaistopka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re">
    <w:name w:val="Treść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u w:val="none" w:color="000000"/>
      <w:lang w:val="pl-PL" w:eastAsia="pl-PL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="119"/>
    </w:pPr>
    <w:rPr>
      <w:rFonts w:eastAsia="Times New Roman" w:cs="Times New Roman"/>
      <w:color w:val="auto"/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 Unicode MS" w:cs="Arial Unicode MS"/>
      <w:color w:val="000000"/>
      <w:kern w:val="0"/>
      <w:sz w:val="20"/>
      <w:szCs w:val="20"/>
      <w:u w:val="none" w:color="000000"/>
      <w:lang w:val="pl-PL" w:eastAsia="pl-PL" w:bidi="ar-SA"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LibreOffice/7.6.6.3$Windows_X86_64 LibreOffice_project/d97b2716a9a4a2ce1391dee1765565ea469b0ae7</Application>
  <AppVersion>15.0000</AppVersion>
  <Pages>11</Pages>
  <Words>2625</Words>
  <Characters>18217</Characters>
  <CharactersWithSpaces>20506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2024-10-20T21:54:04Z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