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KARTA KURSU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jc w:val="center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>rok akademicki 2024/2025</w:t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rFonts w:ascii="Arial" w:hAnsi="Arial" w:eastAsia="Arial" w:cs="Arial"/>
          <w:b/>
          <w:bCs/>
          <w:sz w:val="24"/>
          <w:szCs w:val="24"/>
          <w:lang w:val="pl-PL"/>
        </w:rPr>
      </w:pPr>
      <w:r>
        <w:rPr>
          <w:rFonts w:eastAsia="Arial" w:cs="Arial" w:ascii="Arial" w:hAnsi="Arial"/>
          <w:b/>
          <w:bCs/>
          <w:sz w:val="24"/>
          <w:szCs w:val="24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Kierunek: </w:t>
      </w:r>
      <w:r>
        <w:rPr>
          <w:rFonts w:ascii="Arial" w:hAnsi="Arial"/>
          <w:lang w:val="pl-PL"/>
        </w:rPr>
        <w:t>Psychologia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Tryb prowadzenia studiów: </w:t>
      </w:r>
      <w:r>
        <w:rPr>
          <w:rFonts w:ascii="Arial" w:hAnsi="Arial"/>
          <w:b w:val="false"/>
          <w:bCs w:val="false"/>
          <w:sz w:val="24"/>
          <w:szCs w:val="24"/>
          <w:lang w:val="pl-PL"/>
        </w:rPr>
        <w:t>niestacjonarne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Stopień: </w:t>
      </w:r>
      <w:r>
        <w:rPr>
          <w:rFonts w:ascii="Arial" w:hAnsi="Arial"/>
          <w:lang w:val="pl-PL"/>
        </w:rPr>
        <w:t>studia</w:t>
      </w:r>
      <w:r>
        <w:rPr>
          <w:rFonts w:ascii="Arial" w:hAnsi="Arial"/>
          <w:b/>
          <w:bCs/>
          <w:sz w:val="24"/>
          <w:szCs w:val="24"/>
          <w:lang w:val="pl-PL"/>
        </w:rPr>
        <w:t xml:space="preserve"> </w:t>
      </w:r>
      <w:r>
        <w:rPr>
          <w:rFonts w:ascii="Arial" w:hAnsi="Arial"/>
          <w:lang w:val="pl-PL"/>
        </w:rPr>
        <w:t>jednolite magisterskie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Rok: 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pl-PL"/>
        </w:rPr>
        <w:t>II</w:t>
      </w:r>
    </w:p>
    <w:p>
      <w:pPr>
        <w:pStyle w:val="Normalny"/>
        <w:rPr>
          <w:lang w:val="pl-PL"/>
        </w:rPr>
      </w:pPr>
      <w:r>
        <w:rPr>
          <w:rFonts w:ascii="Arial" w:hAnsi="Arial"/>
          <w:b/>
          <w:bCs/>
          <w:sz w:val="24"/>
          <w:szCs w:val="24"/>
          <w:lang w:val="pl-PL"/>
        </w:rPr>
        <w:t xml:space="preserve">Semestr: </w:t>
      </w:r>
      <w:r>
        <w:rPr>
          <w:rFonts w:ascii="Arial" w:hAnsi="Arial"/>
          <w:lang w:val="pl-PL"/>
        </w:rPr>
        <w:t>(4)</w:t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7656"/>
      </w:tblGrid>
      <w:tr>
        <w:trPr>
          <w:trHeight w:val="235" w:hRule="atLeast"/>
        </w:trPr>
        <w:tc>
          <w:tcPr>
            <w:tcW w:w="19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  <w:t>Współczesne teorie osobowości</w:t>
            </w:r>
          </w:p>
        </w:tc>
      </w:tr>
      <w:tr>
        <w:trPr>
          <w:trHeight w:val="219" w:hRule="atLeast"/>
        </w:trPr>
        <w:tc>
          <w:tcPr>
            <w:tcW w:w="19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Nazwa w j. ang.</w:t>
            </w:r>
          </w:p>
        </w:tc>
        <w:tc>
          <w:tcPr>
            <w:tcW w:w="765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Zawartotabeli"/>
              <w:spacing w:before="60" w:after="60"/>
              <w:jc w:val="center"/>
              <w:rPr>
                <w:lang w:val="pl-PL"/>
              </w:rPr>
            </w:pPr>
            <w:r>
              <w:rPr>
                <w:rFonts w:cs="Arial" w:ascii="Arial" w:hAnsi="Arial"/>
                <w:sz w:val="20"/>
                <w:lang w:val="pl-PL"/>
              </w:rPr>
              <w:t>Contemporary theories of personality</w:t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tbl>
      <w:tblPr>
        <w:tblW w:w="9640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3187"/>
        <w:gridCol w:w="3190"/>
        <w:gridCol w:w="3263"/>
      </w:tblGrid>
      <w:tr>
        <w:trPr>
          <w:trHeight w:val="218" w:hRule="atLeast"/>
        </w:trPr>
        <w:tc>
          <w:tcPr>
            <w:tcW w:w="3187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Koordynator</w:t>
            </w:r>
          </w:p>
        </w:tc>
        <w:tc>
          <w:tcPr>
            <w:tcW w:w="3190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  <w:tc>
          <w:tcPr>
            <w:tcW w:w="32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Zespół dydaktyczny</w:t>
            </w:r>
          </w:p>
        </w:tc>
      </w:tr>
      <w:tr>
        <w:trPr>
          <w:trHeight w:val="184" w:hRule="atLeast"/>
        </w:trPr>
        <w:tc>
          <w:tcPr>
            <w:tcW w:w="3187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3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dr Radosław Stupak</w:t>
            </w:r>
          </w:p>
        </w:tc>
      </w:tr>
      <w:tr>
        <w:trPr>
          <w:trHeight w:val="218" w:hRule="atLeast"/>
        </w:trPr>
        <w:tc>
          <w:tcPr>
            <w:tcW w:w="3187" w:type="dxa"/>
            <w:tcBorders>
              <w:top w:val="single" w:sz="2" w:space="0" w:color="95B3D7"/>
              <w:bottom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190" w:type="dxa"/>
            <w:tcBorders>
              <w:top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3263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18" w:hRule="atLeast"/>
        </w:trPr>
        <w:tc>
          <w:tcPr>
            <w:tcW w:w="3187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Punktacja ECTS*</w:t>
            </w:r>
          </w:p>
        </w:tc>
        <w:tc>
          <w:tcPr>
            <w:tcW w:w="319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  <w:tc>
          <w:tcPr>
            <w:tcW w:w="3263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jc w:val="center"/>
        <w:rPr>
          <w:rFonts w:ascii="Arial" w:hAnsi="Arial" w:eastAsia="Arial" w:cs="Arial"/>
          <w:sz w:val="20"/>
          <w:szCs w:val="20"/>
          <w:lang w:val="pl-PL"/>
        </w:rPr>
      </w:pPr>
      <w:r>
        <w:rPr>
          <w:rFonts w:eastAsia="Arial" w:cs="Arial" w:ascii="Arial" w:hAnsi="Arial"/>
          <w:sz w:val="20"/>
          <w:szCs w:val="20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kursu (cele kształcenia)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40"/>
      </w:tblGrid>
      <w:tr>
        <w:trPr>
          <w:trHeight w:val="1205" w:hRule="atLeast"/>
        </w:trPr>
        <w:tc>
          <w:tcPr>
            <w:tcW w:w="964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Celem kursu jest zapoznanie studentów z podstawowymi teoriami, modelami i koncepcjami osobowości oraz zagadnieniami, którymi zajmuje się współczesna psychologia osobowości. Przedstawione zostaną najważniejsze i wybrane współczesne koncepcje w ramach poszczególnych perspektyw obecnych w psychologii.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Warunki wstępne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71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rFonts w:ascii="Arial" w:hAnsi="Arial" w:eastAsia="Arial" w:cs="Arial"/>
                <w:sz w:val="22"/>
                <w:szCs w:val="22"/>
                <w:shd w:fill="auto" w:val="clear"/>
                <w:lang w:val="pl-PL"/>
              </w:rPr>
            </w:pPr>
            <w:r>
              <w:rPr>
                <w:rFonts w:eastAsia="Arial" w:cs="Arial" w:ascii="Arial" w:hAnsi="Arial"/>
                <w:sz w:val="22"/>
                <w:szCs w:val="22"/>
                <w:shd w:fill="auto" w:val="clear"/>
                <w:lang w:val="pl-PL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478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Kursy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vAlign w:val="center"/>
          </w:tcPr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lang w:val="pl-PL"/>
        </w:rPr>
      </w:r>
      <w:r>
        <w:br w:type="page"/>
      </w:r>
    </w:p>
    <w:p>
      <w:pPr>
        <w:pStyle w:val="Normalny"/>
        <w:spacing w:before="0" w:after="0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Efekty uczenia się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79"/>
        <w:gridCol w:w="5296"/>
        <w:gridCol w:w="2365"/>
      </w:tblGrid>
      <w:tr>
        <w:trPr>
          <w:trHeight w:val="770" w:hRule="atLeast"/>
        </w:trPr>
        <w:tc>
          <w:tcPr>
            <w:tcW w:w="1979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Wiedza</w:t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678" w:hRule="atLeast"/>
        </w:trPr>
        <w:tc>
          <w:tcPr>
            <w:tcW w:w="1979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9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W_01. Student zna i rozumie główne idee, pojęcia i współczesne teorie wyjaśniające rozwój, działanie i znaczenie osobowości, które pozwalają rozumieć człowieka w sposób wieloaspektowy. Zna różne modele osobowości oraz ma świadomość możliwości ich integracji.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W_02. Student wie na czym polegają główne kontrowersje w psychologii osobowości, m.in. kontrowersja „osoba-sytuacja”, posiada wiedzę o cechach osobowości oraz o zmiennych społeczno-poznawczych i ich znaczeniu w regulacji zachowania.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W_03. Student posiada wiedzę na temat ewolucyjnych i biologicznych (genetycznych, neurobiologicznych) uwarunkowań osobowości oraz zachowania człowieka.</w:t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236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K_W03, K_W04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K_W04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K_W01, K_W02, K_W04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5247"/>
        <w:gridCol w:w="2410"/>
      </w:tblGrid>
      <w:tr>
        <w:trPr>
          <w:trHeight w:val="779" w:hRule="atLeast"/>
        </w:trPr>
        <w:tc>
          <w:tcPr>
            <w:tcW w:w="198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Umiejętności</w:t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956" w:hRule="atLeast"/>
        </w:trPr>
        <w:tc>
          <w:tcPr>
            <w:tcW w:w="1983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U_01. Student potrafi interpretować zachowania człowieka w kontekście teorii cech, społeczno-poznawczych, poznawczych, socjobiologicznych i narracyjnych z uwzględnieniem wpływu czynników biologicznych, emocjonalno-poznawczych i społeczno-kulturowych.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U_02. Student umie łączyć wiedzę teoretyczną z wynikami badań. Potrafi samodzielnie interpretować wybrane zjawiska życia psychicznego na gruncie różnych teorii, w sposób krytyczny operuje wiedzą, zna jej aplikacje w badaniach i różnych dziedzinach funkcjonowania człowieka.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U_03. Student potrafi dokonywać porównań teorii pod kątem ich możliwości i ograniczeń, oceniać ich wartość, wskazywać ich możliwe zastosowania praktyczne – kliniczne i społeczne.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K_U04, K_U05, K_U06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K_U05, K_U06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K_U02, K_U04, K_U05, K_U06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83"/>
        <w:gridCol w:w="5247"/>
        <w:gridCol w:w="2410"/>
      </w:tblGrid>
      <w:tr>
        <w:trPr>
          <w:trHeight w:val="640" w:hRule="atLeast"/>
        </w:trPr>
        <w:tc>
          <w:tcPr>
            <w:tcW w:w="1983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Kompetencje społeczne</w:t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Efekt uczenia się dla kursu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Odniesienie do efektów kierunkowych</w:t>
            </w:r>
          </w:p>
        </w:tc>
      </w:tr>
      <w:tr>
        <w:trPr>
          <w:trHeight w:val="1824" w:hRule="atLeast"/>
        </w:trPr>
        <w:tc>
          <w:tcPr>
            <w:tcW w:w="1983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24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K_01.  Student rozumie potrzebę ciągłego rozwoju osobistego i zawodowego i etycznego. Aktywnie kształtuje swoje zasoby osobowościowe, jest gotowy do podejmowania indywidualnych i zespołowych wyzwań zawodowych.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K_02. Student wykazuje postawę dbałości o własne zdrowie psychiczne. Radzi sobie z problemami, rozwija siebie i wspiera rozwój innych wykorzystując wiedzę z zakresu psychologii osobowości. Inspiruje innych do rozwoju. Uznaje wartość pomocy psychologicznej.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K_03. Student jest otwarty na konsultację z innymi psychologami oraz specjalistami innych dziedzin w zakresie psychologii oraz do aktywnego uczestnictwa w grupach i organizacjach realizujących działania psychologiczne, edukacyjne i wychowawcze.</w:t>
            </w:r>
          </w:p>
        </w:tc>
        <w:tc>
          <w:tcPr>
            <w:tcW w:w="2410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K_K03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K_K05</w:t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rFonts w:ascii="Arial" w:hAnsi="Arial"/>
                <w:sz w:val="20"/>
                <w:szCs w:val="20"/>
                <w:shd w:fill="auto" w:val="clear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</w:rPr>
            </w:r>
          </w:p>
          <w:p>
            <w:pPr>
              <w:pStyle w:val="Normalny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K_K02, K_K03, K_K04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32" w:type="dxa"/>
        <w:jc w:val="left"/>
        <w:tblInd w:w="109" w:type="dxa"/>
        <w:tblLayout w:type="fixed"/>
        <w:tblCellMar>
          <w:top w:w="80" w:type="dxa"/>
          <w:left w:w="125" w:type="dxa"/>
          <w:bottom w:w="80" w:type="dxa"/>
          <w:right w:w="217" w:type="dxa"/>
        </w:tblCellMar>
      </w:tblPr>
      <w:tblGrid>
        <w:gridCol w:w="1608"/>
        <w:gridCol w:w="1224"/>
        <w:gridCol w:w="850"/>
        <w:gridCol w:w="270"/>
        <w:gridCol w:w="863"/>
        <w:gridCol w:w="315"/>
        <w:gridCol w:w="818"/>
        <w:gridCol w:w="283"/>
        <w:gridCol w:w="851"/>
        <w:gridCol w:w="282"/>
        <w:gridCol w:w="852"/>
        <w:gridCol w:w="283"/>
        <w:gridCol w:w="848"/>
        <w:gridCol w:w="284"/>
      </w:tblGrid>
      <w:tr>
        <w:trPr>
          <w:trHeight w:val="320" w:hRule="atLeast"/>
        </w:trPr>
        <w:tc>
          <w:tcPr>
            <w:tcW w:w="9631" w:type="dxa"/>
            <w:gridSpan w:val="14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ind w:hanging="0" w:left="45" w:right="13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Organizacja</w:t>
            </w:r>
          </w:p>
        </w:tc>
      </w:tr>
      <w:tr>
        <w:trPr>
          <w:trHeight w:val="550" w:hRule="atLeast"/>
        </w:trPr>
        <w:tc>
          <w:tcPr>
            <w:tcW w:w="1608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Forma zajęć</w:t>
            </w:r>
          </w:p>
        </w:tc>
        <w:tc>
          <w:tcPr>
            <w:tcW w:w="1224" w:type="dxa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  <w:p>
            <w:pPr>
              <w:pStyle w:val="Zawartotabeli"/>
              <w:bidi w:val="0"/>
              <w:spacing w:before="57" w:after="57"/>
              <w:ind w:hanging="0" w:left="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(W)</w:t>
            </w:r>
          </w:p>
        </w:tc>
        <w:tc>
          <w:tcPr>
            <w:tcW w:w="6799" w:type="dxa"/>
            <w:gridSpan w:val="1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grupach</w:t>
            </w:r>
          </w:p>
        </w:tc>
      </w:tr>
      <w:tr>
        <w:trPr>
          <w:trHeight w:val="373" w:hRule="atLeast"/>
        </w:trPr>
        <w:tc>
          <w:tcPr>
            <w:tcW w:w="1608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224" w:type="dxa"/>
            <w:vMerge w:val="continue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A</w:t>
            </w:r>
          </w:p>
        </w:tc>
        <w:tc>
          <w:tcPr>
            <w:tcW w:w="27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6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</w:t>
            </w:r>
          </w:p>
        </w:tc>
        <w:tc>
          <w:tcPr>
            <w:tcW w:w="315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1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1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S</w:t>
            </w:r>
          </w:p>
        </w:tc>
        <w:tc>
          <w:tcPr>
            <w:tcW w:w="28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52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</w:t>
            </w:r>
          </w:p>
        </w:tc>
        <w:tc>
          <w:tcPr>
            <w:tcW w:w="283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84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</w:t>
            </w:r>
          </w:p>
        </w:tc>
        <w:tc>
          <w:tcPr>
            <w:tcW w:w="28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95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358" w:hRule="atLeast"/>
        </w:trPr>
        <w:tc>
          <w:tcPr>
            <w:tcW w:w="160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30</w:t>
            </w:r>
          </w:p>
        </w:tc>
        <w:tc>
          <w:tcPr>
            <w:tcW w:w="1224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20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78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01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3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5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1132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Opis metod prowadzenia zajęć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1760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Kurs odbywa się w trybie stacjonarnym.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Wykład: wykład interaktywny z wykorzystaniem prezentacji multimedialnej, filmów edukacyjnych, analizy literatury.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Ćwiczenia: prowadzone w formie warsztatowej z wykorzystaniem analizy literatury, studiów przypadków, ćwiczeń indywidualnych i grupowych, prezentacji referatów, dyskusji,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Zawartotabeli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Formy sprawdzania efektów uczenia się</w:t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1" w:type="dxa"/>
        <w:jc w:val="left"/>
        <w:tblInd w:w="109" w:type="dxa"/>
        <w:tblLayout w:type="fixed"/>
        <w:tblCellMar>
          <w:top w:w="80" w:type="dxa"/>
          <w:left w:w="193" w:type="dxa"/>
          <w:bottom w:w="80" w:type="dxa"/>
          <w:right w:w="193" w:type="dxa"/>
        </w:tblCellMar>
      </w:tblPr>
      <w:tblGrid>
        <w:gridCol w:w="962"/>
        <w:gridCol w:w="663"/>
        <w:gridCol w:w="668"/>
        <w:gridCol w:w="667"/>
        <w:gridCol w:w="666"/>
        <w:gridCol w:w="664"/>
        <w:gridCol w:w="667"/>
        <w:gridCol w:w="667"/>
        <w:gridCol w:w="666"/>
        <w:gridCol w:w="564"/>
        <w:gridCol w:w="768"/>
        <w:gridCol w:w="667"/>
        <w:gridCol w:w="667"/>
        <w:gridCol w:w="664"/>
      </w:tblGrid>
      <w:tr>
        <w:trPr>
          <w:trHeight w:val="15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 – learning</w:t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Gry dydaktyczne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Zajęcia terenowe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laboratoryjna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indywidualny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Referat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Praca pisemna (esej)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ustny</w:t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Egzamin pisemny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ind w:hanging="0" w:left="113" w:right="113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Inne</w:t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BalloonText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W03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U03</w:t>
            </w:r>
          </w:p>
        </w:tc>
        <w:tc>
          <w:tcPr>
            <w:tcW w:w="663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K01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K02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43" w:hRule="atLeast"/>
        </w:trPr>
        <w:tc>
          <w:tcPr>
            <w:tcW w:w="96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80" w:type="dxa"/>
              <w:right w:w="80" w:type="dxa"/>
            </w:tcMar>
            <w:vAlign w:val="center"/>
          </w:tcPr>
          <w:p>
            <w:pPr>
              <w:pStyle w:val="Normalny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K03</w:t>
            </w:r>
          </w:p>
        </w:tc>
        <w:tc>
          <w:tcPr>
            <w:tcW w:w="663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66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5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X</w:t>
            </w:r>
          </w:p>
        </w:tc>
        <w:tc>
          <w:tcPr>
            <w:tcW w:w="7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7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66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FFFFFF" w:val="clear"/>
            <w:tcMar>
              <w:left w:w="80" w:type="dxa"/>
              <w:right w:w="80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832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Zawartotabeli"/>
              <w:spacing w:before="57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Kryteria oceny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Zaliczenie ćwiczeń: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1. Obecność na ćwiczeniach (dozwolona jedna nieobecność), przygotowanie do zajęć i lektura zadanej literatury przedmiotu, udział w dyskusjach.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 xml:space="preserve">    </w:t>
            </w: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2. Poprawne wykonanie projektu grupowego, referatu.</w:t>
            </w:r>
          </w:p>
          <w:p>
            <w:pPr>
              <w:pStyle w:val="Zawartotabeli"/>
              <w:spacing w:before="57" w:after="57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spacing w:before="57" w:after="57"/>
              <w:rPr>
                <w:rFonts w:ascii="Arial" w:hAnsi="Arial"/>
                <w:sz w:val="22"/>
                <w:szCs w:val="22"/>
                <w:shd w:fill="auto" w:val="clear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</w:rPr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Zaliczenie wykładu: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pl-PL"/>
              </w:rPr>
              <w:t>Test jednokrotnego wyboru, ocena pozytywna = 60% + 1 pkt.</w:t>
            </w:r>
          </w:p>
          <w:p>
            <w:pPr>
              <w:pStyle w:val="Zawartotabeli"/>
              <w:spacing w:before="57" w:after="57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</w:tbl>
    <w:p>
      <w:pPr>
        <w:pStyle w:val="Zawartotabeli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40" w:type="dxa"/>
        <w:jc w:val="left"/>
        <w:tblInd w:w="109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940"/>
        <w:gridCol w:w="7699"/>
      </w:tblGrid>
      <w:tr>
        <w:trPr>
          <w:trHeight w:val="929" w:hRule="atLeast"/>
        </w:trPr>
        <w:tc>
          <w:tcPr>
            <w:tcW w:w="194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spacing w:before="0" w:after="57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Uwagi</w:t>
            </w:r>
          </w:p>
        </w:tc>
        <w:tc>
          <w:tcPr>
            <w:tcW w:w="7699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color="auto" w:fill="auto" w:val="clear"/>
          </w:tcPr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Styltabeli2"/>
              <w:tabs>
                <w:tab w:val="clear" w:pos="708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  <w:tab w:val="left" w:pos="5040" w:leader="none"/>
                <w:tab w:val="left" w:pos="5760" w:leader="none"/>
                <w:tab w:val="left" w:pos="6480" w:leader="none"/>
                <w:tab w:val="left" w:pos="7200" w:leader="none"/>
              </w:tabs>
              <w:bidi w:val="0"/>
              <w:ind w:hanging="0" w:left="0" w:right="0"/>
              <w:jc w:val="left"/>
              <w:rPr>
                <w:lang w:val="pl-PL"/>
              </w:rPr>
            </w:pPr>
            <w:r>
              <w:rPr>
                <w:rFonts w:ascii="Arial" w:hAnsi="Arial"/>
                <w:u w:val="none" w:color="000000"/>
                <w:lang w:val="pl-PL"/>
                <w14:textOutline w14:w="12700" w14:cap="flat">
                  <w14:noFill/>
                  <w14:miter w14:lim="400000"/>
                </w14:textOutline>
              </w:rPr>
              <w:t>Przedmiot kierunkowy na studiach stacjonarnych, jednolitych magisterskich, kierunek: Psychologia.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Treści merytoryczne (wykaz tematów)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76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1. Klasyczne i współczesne koncepcje osobowości w kontekście psychologii jako nauki.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2. Cechowe ujęcia osobowości. Pięcioczynnikowe modele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</w:t>
            </w:r>
            <w:r>
              <w:rPr>
                <w:lang w:val="pl-PL"/>
              </w:rPr>
              <w:t>. Biologiczne podstawy osobowości, temperament, osobowość.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  <w:r>
              <w:rPr>
                <w:lang w:val="pl-PL"/>
              </w:rPr>
              <w:t>. Behawioryzm i uczeniowe teorie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5</w:t>
            </w:r>
            <w:r>
              <w:rPr>
                <w:lang w:val="pl-PL"/>
              </w:rPr>
              <w:t>. Poznawcze teorie osobowości. Społeczno-poznawcze teorie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6. </w:t>
            </w:r>
            <w:r>
              <w:rPr>
                <w:lang w:val="pl-PL"/>
              </w:rPr>
              <w:t>Osobowość w kontekście kulturowym i rozwojowym.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7</w:t>
            </w:r>
            <w:r>
              <w:rPr>
                <w:lang w:val="pl-PL"/>
              </w:rPr>
              <w:t>. Współczesne koncepcje psychodynamiczne, humanistyczne, fenomenologiczne i egzystencjalne.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8</w:t>
            </w:r>
            <w:r>
              <w:rPr>
                <w:lang w:val="pl-PL"/>
              </w:rPr>
              <w:t>. Kołowy model metacech i różne rozwiązania czynnikowe.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9</w:t>
            </w:r>
            <w:r>
              <w:rPr>
                <w:lang w:val="pl-PL"/>
              </w:rPr>
              <w:t>. Koncepcje narracyjne i próby syntez.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  <w:r>
              <w:rPr>
                <w:lang w:val="pl-PL"/>
              </w:rPr>
              <w:t>. Power Threat Meaning Framework w kontekście osobowości i zaburzeń osobowości. Koncepcje i klasyfikacje zaburzeń osobowości.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Ćwiczenia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Stan a cecha (STAI). Cechy w NEO-FFI.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Cechy i aspekty w NEO-PI-R. Studia przypadków.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Prezentacje studentów na wybrane tematy i ich omówienie.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podstawowej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38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Oleś. P. (2022).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Wprowadzenie do psychologii osobowości</w:t>
            </w:r>
            <w:r>
              <w:rPr>
                <w:rFonts w:cs="Arial" w:ascii="Arial" w:hAnsi="Arial"/>
                <w:sz w:val="20"/>
                <w:szCs w:val="20"/>
              </w:rPr>
              <w:t>. Wydanie nowe. (trzecie) Warszawa: Wydawnictwo Naukowe Scholar. [wskazane rozdziały]</w:t>
            </w:r>
          </w:p>
          <w:p>
            <w:pPr>
              <w:pStyle w:val="Normal"/>
              <w:ind w:hanging="0" w:left="72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  <w:t xml:space="preserve">Cervone, D., Pervin, L.A. (2011).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Osobowość. Teoria i badania</w:t>
            </w:r>
            <w:r>
              <w:rPr>
                <w:rFonts w:cs="Arial" w:ascii="Arial" w:hAnsi="Arial"/>
                <w:sz w:val="20"/>
                <w:szCs w:val="20"/>
              </w:rPr>
              <w:t>. (wydanie 10). Kraków: Wydawnictwo UJ [wskazane rozdziały]</w:t>
            </w:r>
          </w:p>
          <w:p>
            <w:pPr>
              <w:pStyle w:val="Geenafstand"/>
              <w:ind w:hanging="0" w:left="72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Strelau, J. (2016). Różnice indywidualne. Historia – determinanty – zastosowania. Wydanie drugie [wskazane fragmenty]</w:t>
            </w:r>
          </w:p>
          <w:p>
            <w:pPr>
              <w:pStyle w:val="Normal"/>
              <w:ind w:hanging="0" w:left="36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Siuta, J. (2009). Inwentarz osobowości NEO-PI-R Paula T. Costy i Roberta R. McCrae. Adaptacja polska – Podręcznik. Warszawa: Pracownia Testów Psychologicznych PTP (rozdział 1, 2 i 5).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Jankowski, T., Oleś, M., Bąk, W., Oleś, P. (2009). Przydatność inwentarza NEO-PI-R w diagnozie indywidualnej, W: J. Siuta (red.), </w:t>
            </w:r>
            <w:r>
              <w:rPr>
                <w:rFonts w:cs="Arial" w:ascii="Arial" w:hAnsi="Arial"/>
                <w:i/>
                <w:sz w:val="20"/>
                <w:szCs w:val="20"/>
              </w:rPr>
              <w:t>Diagnoza osobowości. Inwentarz NEO-PI-R w teorii i praktyce</w:t>
            </w:r>
            <w:r>
              <w:rPr>
                <w:rFonts w:cs="Arial" w:ascii="Arial" w:hAnsi="Arial"/>
                <w:sz w:val="20"/>
                <w:szCs w:val="20"/>
              </w:rPr>
              <w:t>, Warszawa: PTP, 113-154.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Stupak, R., &amp; Johnstone, L. (2024). Power Threat Meaning Framework – a brief description of the basic assumptions and context. Psychoterapia, 206(3), 71–84. https://doi.org/10.12740/PT/176251</w:t>
              <w:br/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Artykuły do projektów grupowych, referatów: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Strus, W., Cieciuch, J. (2014). Poza Wielką Piątkę – przegląd nowych modeli struktury osobowości.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Polskie Forum Psychologiczne</w:t>
            </w:r>
            <w:r>
              <w:rPr>
                <w:rFonts w:cs="Arial" w:ascii="Arial" w:hAnsi="Arial"/>
                <w:sz w:val="20"/>
                <w:szCs w:val="20"/>
              </w:rPr>
              <w:t xml:space="preserve">, </w:t>
            </w:r>
            <w:r>
              <w:rPr>
                <w:rFonts w:cs="Arial" w:ascii="Arial" w:hAnsi="Arial"/>
                <w:i/>
                <w:iCs/>
                <w:sz w:val="20"/>
                <w:szCs w:val="20"/>
              </w:rPr>
              <w:t>19</w:t>
            </w:r>
            <w:r>
              <w:rPr>
                <w:rFonts w:cs="Arial" w:ascii="Arial" w:hAnsi="Arial"/>
                <w:sz w:val="20"/>
                <w:szCs w:val="20"/>
              </w:rPr>
              <w:t>(1), 17-49.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Kosinski, M., Stillwell, D., &amp; Graepel, T. (2013). Private traits and attributes are predictable from digital records of human behavior. Proceedings of the National Academy of Sciences, 110(15), 5802–5805. https://doi.org/10.1073/pnas.1218772110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Shaw, C., &amp; Proctor, G. (2005). I. Women at the margins: A critique of the diagnosis of borderline personality disorder. </w:t>
            </w:r>
            <w:r>
              <w:rPr>
                <w:rFonts w:cs="Arial" w:ascii="Arial" w:hAnsi="Arial"/>
                <w:sz w:val="20"/>
                <w:szCs w:val="20"/>
              </w:rPr>
              <w:t>Feminism &amp; Psychology, 15(4), 483–490. https://doi.org/10.1177/0959-353505057620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Furnham, A., Richards, S. C., &amp; Paulhus, D. L. (2013). The dark triad of personality: A 10 year review: dark triad of personality. </w:t>
            </w:r>
            <w:r>
              <w:rPr>
                <w:rFonts w:cs="Arial" w:ascii="Arial" w:hAnsi="Arial"/>
                <w:sz w:val="20"/>
                <w:szCs w:val="20"/>
              </w:rPr>
              <w:t>Social and Personality Psychology Compass, 7(3), 199–216. https://doi.org/10.1111/spc3.12018</w:t>
            </w:r>
          </w:p>
          <w:p>
            <w:pPr>
              <w:pStyle w:val="Akapitzlist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Miller, C. E., Townsend, M. L., Day, N. J. S., &amp; Grenyer, B. F. S. (2020). Measuring the shadows: A systematic review of chronic emptiness in borderline personality disorder. </w:t>
            </w:r>
            <w:r>
              <w:rPr>
                <w:rFonts w:cs="Arial" w:ascii="Arial" w:hAnsi="Arial"/>
                <w:sz w:val="20"/>
                <w:szCs w:val="20"/>
              </w:rPr>
              <w:t>PLOS ONE, 15(7), e0233970. https://doi.org/10.1371/journal.pone.0233970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Banicki, K. (2018). Personality disorders and thick concepts. </w:t>
            </w:r>
            <w:r>
              <w:rPr>
                <w:rFonts w:cs="Arial" w:ascii="Arial" w:hAnsi="Arial"/>
                <w:sz w:val="20"/>
                <w:szCs w:val="20"/>
              </w:rPr>
              <w:t>Philosophy, Psychiatry, &amp; Psychology, 25(3), 209–221. https://doi.org/10.1353/ppp.2018.0030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Batory, A., Bąk, W., Oleś, P., &amp; Puchalska-Wasyl, M. (2010).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 xml:space="preserve">The dialogical self: Research and applications. </w:t>
            </w:r>
            <w:r>
              <w:rPr>
                <w:rFonts w:cs="Arial" w:ascii="Arial" w:hAnsi="Arial"/>
                <w:sz w:val="20"/>
                <w:szCs w:val="20"/>
              </w:rPr>
              <w:t>Psychology of Language and Communication, 14(1), 45–59. https://doi.org/10.2478/v10057-010-0003-8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>Kim, H., Lee, H., Lo, R. F., Suh, E. M., &amp; Schimmack, U. (2022). Seeing the self through rose-colored glasses: A cross-cultural study of positive illusions using a behavioral approach. PLOS ONE, 17(10), e0274535. https://doi.org/10.1371/journal.pone.0274535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Tang, T. Z., DeRubeis, R. J., Hollon, S. D., Amsterdam, J., Shelton, R., &amp; Schalet, B. (2009). Personality change during depression treatment: A placebo-controlled trial. Archives of General Psychiatry, 66(12), 1322. https://doi.org/10.1001/archgenpsychiatry.2009.166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Rogoza, M., Marchlewska, M., &amp; Szczepańska, D. (2022). </w:t>
            </w:r>
            <w:r>
              <w:rPr>
                <w:rFonts w:cs="Arial" w:ascii="Arial" w:hAnsi="Arial"/>
                <w:sz w:val="20"/>
                <w:szCs w:val="20"/>
                <w:lang w:val="en-GB"/>
              </w:rPr>
              <w:t>Why dark personalities participate in politics? Personality and Individual Differences, 186, 111319. https://doi.org/10.1016/j.paid.2021.111319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Grzyb, T., &amp; Dolinski, D. (2023). You and I are alike, so I will hold back – The effect of directed empathy on the behavior of participants of Stanley Milgram’s obedience paradigm. Acta Psychologica, 234, 103859. https://doi.org/10.1016/j.actpsy.2023.103859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Joseph, J. (2022). A reevaluation of the 1990 “Minnesota Study of Twins Reared Apart” IQ study. Human Development, 66(1), 48–65. https://doi.org/10.1159/000521922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Liu, C. T. X., Menzies, R. E., &amp; Menzies, R. G. (2023). A systematic review of existential concerns in borderline personality disorder. Journal of Humanistic Psychology, 002216782311657. https://doi.org/10.1177/00221678231165792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Cichocka, A., Marchlewska, M., &amp; Biddlestone, M. (2022). Why do narcissists find conspiracy theories so appealing? Current Opinion in Psychology, 47, 101386. https://doi.org/10.1016/j.copsyc.2022.101386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Pyszczynski, T., Lockett, M., Greenberg, J., &amp; Solomon, S. (2021). Terror management theory and the covid-19 pandemic. Journal of Humanistic Psychology, 61(2), 173–189. https://doi.org/10.1177/0022167820959488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Grzyb, T., Maj, K., &amp; Dolinski, D. (2023). Obedience to robot. Humanoid robot as an experimenter in Milgram paradigm. Computers in Human Behavior: Artificial Humans, 1(2), 100010. https://doi.org/10.1016/j.chbah.2023.100010</w:t>
            </w:r>
          </w:p>
          <w:p>
            <w:pPr>
              <w:pStyle w:val="Akapitzlist"/>
              <w:spacing w:lineRule="auto" w:line="240"/>
              <w:ind w:hanging="0" w:left="0" w:righ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Sanz-García, A., Gesteira, C., Sanz, J., &amp; García-Vera, M. P. (2021). Prevalence of psychopathy in the general adult population: A systematic review and meta-analysis. Frontiers in Psychology, 12, 661044. https://doi.org/10.3389/fpsyg.2021.661044</w:t>
            </w:r>
          </w:p>
          <w:p>
            <w:pPr>
              <w:pStyle w:val="Akapitzlist"/>
              <w:spacing w:lineRule="auto" w:line="240" w:before="0" w:after="200"/>
              <w:ind w:hanging="0" w:left="0" w:right="0"/>
              <w:rPr/>
            </w:pPr>
            <w:r>
              <w:rPr>
                <w:rFonts w:cs="Arial" w:ascii="Arial" w:hAnsi="Arial"/>
                <w:sz w:val="20"/>
                <w:szCs w:val="20"/>
                <w:lang w:val="en-GB"/>
              </w:rPr>
              <w:t>Kaufman, S. B., Yaden, D. B., Hyde, E., &amp; Tsukayama, E. (2019). The Light vs. Dark triad of personality: Contrasting two very different profiles of human nature. Frontiers in Psychology, 10, 467. https://doi.org/10.3389/fpsyg.2019.00467</w:t>
              <w:br/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rFonts w:ascii="Arial" w:hAnsi="Arial" w:eastAsia="Arial" w:cs="Arial"/>
          <w:lang w:val="pl-PL"/>
        </w:rPr>
      </w:pPr>
      <w:r>
        <w:rPr>
          <w:rFonts w:eastAsia="Arial" w:cs="Arial" w:ascii="Arial" w:hAnsi="Arial"/>
          <w:lang w:val="pl-PL"/>
        </w:rPr>
      </w:r>
    </w:p>
    <w:p>
      <w:pPr>
        <w:pStyle w:val="Normalny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Wykaz literatury uzupełniającej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62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622"/>
      </w:tblGrid>
      <w:tr>
        <w:trPr>
          <w:trHeight w:val="952" w:hRule="atLeast"/>
        </w:trPr>
        <w:tc>
          <w:tcPr>
            <w:tcW w:w="9622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1. Corr, P. J., &amp; Matthews, G. (Eds.). (2020). The Cambridge handbook of personality psychology. (2nd ed.) Cambridge University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2. John, O. P., &amp; Robins, R. W. (2021). Handbook of personality: Theory and research (4rd ed). Guilford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3. McAdams, D. P., Shiner, R. L., &amp; Tackett, J. L. (Eds.). (2019). Handbook of personality development. The Guilford Press.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4. Weiner, I. B., &amp; Greene, R. L. (2017). Handbook of personality assessment (Second edition). John Wiley &amp; Sons, Inc.</w:t>
            </w:r>
          </w:p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 xml:space="preserve">    </w:t>
            </w:r>
            <w:r>
              <w:rPr>
                <w:lang w:val="pl-PL"/>
              </w:rPr>
              <w:t>5. Vassilieva, J. (2016). Narrative psychology. Palgrave Macmillan UK.</w:t>
            </w:r>
          </w:p>
          <w:p>
            <w:pPr>
              <w:pStyle w:val="Normal"/>
              <w:rPr>
                <w:lang w:val="pl-PL"/>
              </w:rPr>
            </w:pPr>
            <w:r>
              <w:rPr/>
            </w:r>
          </w:p>
        </w:tc>
      </w:tr>
    </w:tbl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p>
      <w:pPr>
        <w:pStyle w:val="BalloonText"/>
        <w:rPr>
          <w:lang w:val="pl-PL"/>
        </w:rPr>
      </w:pPr>
      <w:r>
        <w:rPr>
          <w:rFonts w:ascii="Arial" w:hAnsi="Arial"/>
          <w:sz w:val="22"/>
          <w:szCs w:val="22"/>
          <w:lang w:val="pl-PL"/>
        </w:rPr>
        <w:t>Bilans godzinowy zgodny z CNPS (Całkowity Nakład Pracy Studenta)</w:t>
      </w:r>
    </w:p>
    <w:p>
      <w:pPr>
        <w:pStyle w:val="Normalny"/>
        <w:rPr>
          <w:rFonts w:ascii="Arial" w:hAnsi="Arial" w:eastAsia="Arial" w:cs="Arial"/>
          <w:sz w:val="22"/>
          <w:szCs w:val="22"/>
          <w:lang w:val="pl-PL"/>
        </w:rPr>
      </w:pPr>
      <w:r>
        <w:rPr>
          <w:rFonts w:eastAsia="Arial" w:cs="Arial" w:ascii="Arial" w:hAnsi="Arial"/>
          <w:sz w:val="22"/>
          <w:szCs w:val="22"/>
          <w:lang w:val="pl-PL"/>
        </w:rPr>
      </w:r>
    </w:p>
    <w:tbl>
      <w:tblPr>
        <w:tblW w:w="9582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2766"/>
        <w:gridCol w:w="5748"/>
        <w:gridCol w:w="1068"/>
      </w:tblGrid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w kontakcie z prowadzącymi</w:t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Wykład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2</w:t>
            </w:r>
            <w:r>
              <w:rPr>
                <w:lang w:val="pl-PL"/>
              </w:rPr>
              <w:t>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Konwersatorium, ćwiczenia, laboratorium, itd.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Pozostałe godziny kontaktu studenta z prowadzącym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</w:tr>
      <w:tr>
        <w:trPr>
          <w:trHeight w:val="223" w:hRule="atLeast"/>
        </w:trPr>
        <w:tc>
          <w:tcPr>
            <w:tcW w:w="2766" w:type="dxa"/>
            <w:vMerge w:val="restar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vAlign w:val="center"/>
          </w:tcPr>
          <w:p>
            <w:pPr>
              <w:pStyle w:val="Normalny"/>
              <w:widowControl/>
              <w:spacing w:lineRule="auto" w:line="276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godzin pracy studenta bez kontaktu z prowadzącymi</w:t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Lektura w ramach przygotowania do zajęć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</w:t>
            </w:r>
            <w:r>
              <w:rPr>
                <w:lang w:val="pl-PL"/>
              </w:rPr>
              <w:t>5</w:t>
            </w:r>
          </w:p>
        </w:tc>
      </w:tr>
      <w:tr>
        <w:trPr>
          <w:trHeight w:val="550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krótkiej pracy pisemnej lub referatu po zapoznaniu się z niezbędną literaturą przedmiotu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571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projektu lub prezentacji na podany temat (praca w grupie)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</w:t>
            </w:r>
          </w:p>
        </w:tc>
      </w:tr>
      <w:tr>
        <w:trPr>
          <w:trHeight w:val="223" w:hRule="atLeast"/>
        </w:trPr>
        <w:tc>
          <w:tcPr>
            <w:tcW w:w="2766" w:type="dxa"/>
            <w:vMerge w:val="continue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</w:r>
          </w:p>
        </w:tc>
        <w:tc>
          <w:tcPr>
            <w:tcW w:w="574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Przygotowanie do egzaminu/zaliczenia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35</w:t>
            </w:r>
          </w:p>
        </w:tc>
      </w:tr>
      <w:tr>
        <w:trPr>
          <w:trHeight w:val="223" w:hRule="atLeast"/>
        </w:trPr>
        <w:tc>
          <w:tcPr>
            <w:tcW w:w="851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Ogółem bilans czasu pracy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100</w:t>
            </w:r>
          </w:p>
        </w:tc>
      </w:tr>
      <w:tr>
        <w:trPr>
          <w:trHeight w:val="232" w:hRule="atLeast"/>
        </w:trPr>
        <w:tc>
          <w:tcPr>
            <w:tcW w:w="851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DBE5F1" w:val="clear"/>
            <w:tcMar>
              <w:left w:w="440" w:type="dxa"/>
            </w:tcMar>
            <w:vAlign w:val="center"/>
          </w:tcPr>
          <w:p>
            <w:pPr>
              <w:pStyle w:val="Normalny"/>
              <w:widowControl/>
              <w:spacing w:lineRule="auto" w:line="276"/>
              <w:ind w:hanging="0" w:left="360" w:right="0"/>
              <w:jc w:val="center"/>
              <w:rPr>
                <w:lang w:val="pl-PL"/>
              </w:rPr>
            </w:pPr>
            <w:r>
              <w:rPr>
                <w:rFonts w:ascii="Arial" w:hAnsi="Arial"/>
                <w:sz w:val="20"/>
                <w:szCs w:val="20"/>
                <w:shd w:fill="auto" w:val="clear"/>
                <w:lang w:val="pl-PL"/>
              </w:rPr>
              <w:t>Liczba punktów ECTS w zależności od przyjętego przelicznika</w:t>
            </w:r>
          </w:p>
        </w:tc>
        <w:tc>
          <w:tcPr>
            <w:tcW w:w="1068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color="auto" w:fill="auto" w:val="clear"/>
            <w:tcMar>
              <w:left w:w="440" w:type="dxa"/>
            </w:tcMar>
            <w:vAlign w:val="center"/>
          </w:tcPr>
          <w:p>
            <w:pPr>
              <w:pStyle w:val="Normal"/>
              <w:rPr>
                <w:lang w:val="pl-PL"/>
              </w:rPr>
            </w:pPr>
            <w:r>
              <w:rPr>
                <w:lang w:val="pl-PL"/>
              </w:rPr>
              <w:t>4</w:t>
            </w:r>
          </w:p>
        </w:tc>
      </w:tr>
    </w:tbl>
    <w:p>
      <w:pPr>
        <w:pStyle w:val="Normalny"/>
        <w:rPr>
          <w:lang w:val="pl-PL"/>
        </w:rPr>
      </w:pPr>
      <w:r>
        <w:rPr>
          <w:lang w:val="pl-PL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454" w:top="1276" w:footer="709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lang w:val="pl-PL"/>
      </w:rPr>
    </w:pPr>
    <w:r>
      <w:rPr>
        <w:lang w:val="pl-PL"/>
      </w:rPr>
      <w:fldChar w:fldCharType="begin"/>
    </w:r>
    <w:r>
      <w:rPr>
        <w:lang w:val="pl-PL"/>
      </w:rPr>
      <w:instrText xml:space="preserve"> PAGE </w:instrText>
    </w:r>
    <w:r>
      <w:rPr>
        <w:lang w:val="pl-PL"/>
      </w:rPr>
      <w:fldChar w:fldCharType="separate"/>
    </w:r>
    <w:r>
      <w:rPr>
        <w:lang w:val="pl-PL"/>
      </w:rPr>
      <w:t>7</w:t>
    </w:r>
    <w:r>
      <w:rPr>
        <w:lang w:val="pl-PL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bidi w:val="0"/>
      <w:rPr>
        <w:lang w:val="pl-PL"/>
      </w:rPr>
    </w:pPr>
    <w:r>
      <w:rPr>
        <w:lang w:val="pl-PL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"/>
      <w:spacing w:before="240" w:after="120"/>
      <w:jc w:val="right"/>
      <w:rPr>
        <w:lang w:val="pl-PL"/>
      </w:rPr>
    </w:pPr>
    <w:r>
      <w:rPr>
        <w:lang w:val="pl-PL"/>
      </w:rPr>
    </w:r>
  </w:p>
</w:hdr>
</file>

<file path=word/settings.xml><?xml version="1.0" encoding="utf-8"?>
<w:settings xmlns:w="http://schemas.openxmlformats.org/wordprocessingml/2006/main">
  <w:zoom w:percent="78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pl-PL" w:eastAsia="en-US" w:bidi="ar-SA"/>
    </w:rPr>
  </w:style>
  <w:style w:type="paragraph" w:styleId="Heading1">
    <w:name w:val="Heading 1"/>
    <w:next w:val="Normalny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center"/>
      <w:outlineLvl w:val="0"/>
    </w:pPr>
    <w:rPr>
      <w:rFonts w:ascii="Verdana" w:hAnsi="Verdan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Hyperlink">
    <w:name w:val="Hyperlink"/>
    <w:rPr>
      <w:u w:val="single" w:color="FFFFFF"/>
    </w:rPr>
  </w:style>
  <w:style w:type="paragraph" w:styleId="Nagwek">
    <w:name w:val="Nagłówek"/>
    <w:next w:val="BodyText"/>
    <w:qFormat/>
    <w:pPr>
      <w:keepNext w:val="tru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240" w:afterAutospacing="0" w:after="120"/>
      <w:ind w:hanging="0" w:left="0" w:right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8"/>
      <w:sz w:val="28"/>
      <w:szCs w:val="28"/>
      <w:u w:val="none" w:color="000000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 w:val="false"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Zawartotabeli">
    <w:name w:val="Zawartość tabeli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BalloonText">
    <w:name w:val="Balloon Text"/>
    <w:qFormat/>
    <w:pPr>
      <w:keepNext w:val="false"/>
      <w:keepLines w:val="false"/>
      <w:pageBreakBefore w:val="false"/>
      <w:widowControl w:val="false"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Tahoma" w:hAnsi="Tahom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16"/>
      <w:sz w:val="16"/>
      <w:szCs w:val="16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Styltabeli2">
    <w:name w:val="Styl tabeli 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basedOn w:val="Gwkaistopka"/>
    <w:pPr/>
    <w:rPr/>
  </w:style>
  <w:style w:type="paragraph" w:styleId="Akapitzlist">
    <w:name w:val="Akapit z listą"/>
    <w:basedOn w:val="Normal"/>
    <w:qFormat/>
    <w:pPr>
      <w:widowControl/>
      <w:suppressAutoHyphens w:val="false"/>
      <w:spacing w:lineRule="auto" w:line="276" w:before="0" w:after="200"/>
      <w:ind w:hanging="0" w:left="720" w:right="0"/>
    </w:pPr>
    <w:rPr>
      <w:rFonts w:ascii="Calibri" w:hAnsi="Calibri" w:eastAsia="Times New Roman" w:cs="Times New Roman"/>
      <w:sz w:val="22"/>
      <w:szCs w:val="22"/>
    </w:rPr>
  </w:style>
  <w:style w:type="paragraph" w:styleId="Geenafstand">
    <w:name w:val="Geen afstand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2"/>
      <w:sz w:val="22"/>
      <w:szCs w:val="22"/>
      <w:u w:val="none" w:color="FFFFFF"/>
      <w:vertAlign w:val="baseline"/>
      <w:lang w:val="pl-PL" w:eastAsia="zh-CN" w:bidi="ar-SA"/>
    </w:rPr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LibreOffice/7.6.6.3$Windows_X86_64 LibreOffice_project/d97b2716a9a4a2ce1391dee1765565ea469b0ae7</Application>
  <AppVersion>15.0000</AppVersion>
  <Pages>7</Pages>
  <Words>1492</Words>
  <Characters>9978</Characters>
  <CharactersWithSpaces>11319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2024-11-02T14:49:31Z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