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KARTA KURSU</w:t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jc w:val="center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rok akademicki 2024/2025</w:t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Kierunek: </w:t>
      </w:r>
      <w:r>
        <w:rPr>
          <w:rFonts w:ascii="Arial" w:hAnsi="Arial"/>
          <w:lang w:val="pl-PL"/>
        </w:rPr>
        <w:t>Psychologia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Tryb prowadzenia studiów: </w:t>
      </w:r>
      <w:r>
        <w:rPr>
          <w:rFonts w:ascii="Arial" w:hAnsi="Arial"/>
          <w:b w:val="false"/>
          <w:bCs w:val="false"/>
          <w:sz w:val="24"/>
          <w:szCs w:val="24"/>
          <w:lang w:val="pl-PL"/>
        </w:rPr>
        <w:t>stacjonarne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Stopień: </w:t>
      </w:r>
      <w:r>
        <w:rPr>
          <w:rFonts w:ascii="Arial" w:hAnsi="Arial"/>
          <w:lang w:val="pl-PL"/>
        </w:rPr>
        <w:t>studia</w:t>
      </w:r>
      <w:r>
        <w:rPr>
          <w:rFonts w:ascii="Arial" w:hAnsi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/>
          <w:lang w:val="pl-PL"/>
        </w:rPr>
        <w:t>jednolite magisterskie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Rok: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pl-PL"/>
        </w:rPr>
        <w:t>II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Semestr: </w:t>
      </w:r>
      <w:r>
        <w:rPr>
          <w:rFonts w:ascii="Arial" w:hAnsi="Arial"/>
          <w:lang w:val="pl-PL"/>
        </w:rPr>
        <w:t>(4)</w:t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7656"/>
      </w:tblGrid>
      <w:tr>
        <w:trPr>
          <w:trHeight w:val="235" w:hRule="atLeast"/>
        </w:trPr>
        <w:tc>
          <w:tcPr>
            <w:tcW w:w="19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  <w:t>Współczesne teorie osobowości</w:t>
            </w:r>
          </w:p>
        </w:tc>
      </w:tr>
      <w:tr>
        <w:trPr>
          <w:trHeight w:val="219" w:hRule="atLeast"/>
        </w:trPr>
        <w:tc>
          <w:tcPr>
            <w:tcW w:w="19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spacing w:before="60" w:after="60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  <w:t>Contemporary theories of personality</w:t>
            </w:r>
          </w:p>
        </w:tc>
      </w:tr>
    </w:tbl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87"/>
        <w:gridCol w:w="3190"/>
        <w:gridCol w:w="3263"/>
      </w:tblGrid>
      <w:tr>
        <w:trPr>
          <w:trHeight w:val="218" w:hRule="atLeast"/>
        </w:trPr>
        <w:tc>
          <w:tcPr>
            <w:tcW w:w="318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</w:t>
            </w:r>
          </w:p>
        </w:tc>
        <w:tc>
          <w:tcPr>
            <w:tcW w:w="32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Zespół dydaktyczny</w:t>
            </w:r>
          </w:p>
        </w:tc>
      </w:tr>
      <w:tr>
        <w:trPr>
          <w:trHeight w:val="184" w:hRule="atLeast"/>
        </w:trPr>
        <w:tc>
          <w:tcPr>
            <w:tcW w:w="3187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90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</w:t>
            </w:r>
          </w:p>
        </w:tc>
      </w:tr>
      <w:tr>
        <w:trPr>
          <w:trHeight w:val="218" w:hRule="atLeast"/>
        </w:trPr>
        <w:tc>
          <w:tcPr>
            <w:tcW w:w="3187" w:type="dxa"/>
            <w:tcBorders>
              <w:top w:val="single" w:sz="2" w:space="0" w:color="95B3D7"/>
              <w:bottom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3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18" w:hRule="atLeast"/>
        </w:trPr>
        <w:tc>
          <w:tcPr>
            <w:tcW w:w="318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263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Opis kursu (cele kształcenia)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40"/>
      </w:tblGrid>
      <w:tr>
        <w:trPr>
          <w:trHeight w:val="1205" w:hRule="atLeast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Celem kursu jest zapoznanie studentów z podstawowymi teoriami, modelami i koncepcjami osobowości oraz zagadnieniami, którymi zajmuje się współczesna psychologia osobowości. Przedstawione zostaną najważniejsze i wybrane współczesne koncepcje w ramach poszczególnych perspektyw obecnych w psychologii.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Warunki wstępne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71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rFonts w:ascii="Arial" w:hAnsi="Arial" w:eastAsia="Arial" w:cs="Arial"/>
                <w:sz w:val="22"/>
                <w:szCs w:val="22"/>
                <w:shd w:fill="auto" w:val="clear"/>
                <w:lang w:val="pl-PL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lang w:val="pl-PL"/>
        </w:rPr>
      </w:r>
      <w:r>
        <w:br w:type="page"/>
      </w:r>
    </w:p>
    <w:p>
      <w:pPr>
        <w:pStyle w:val="Normalny"/>
        <w:spacing w:before="0" w:after="0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Efekty uczenia się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79"/>
        <w:gridCol w:w="5296"/>
        <w:gridCol w:w="2365"/>
      </w:tblGrid>
      <w:tr>
        <w:trPr>
          <w:trHeight w:val="770" w:hRule="atLeast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678" w:hRule="atLeast"/>
        </w:trPr>
        <w:tc>
          <w:tcPr>
            <w:tcW w:w="197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W_01. Student zna i rozumie główne idee, pojęcia i współczesne teorie wyjaśniające rozwój, działanie i znaczenie osobowości, które pozwalają rozumieć człowieka w sposób wieloaspektowy. Zna różne modele osobowości oraz ma świadomość możliwości ich integracji.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W_02. Student wie na czym polegają główne kontrowersje w psychologii osobowości, m.in. kontrowersja „osoba-sytuacja”, posiada wiedzę o cechach osobowości oraz o zmiennych społeczno-poznawczych i ich znaczeniu w regulacji zachowania.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W_03. Student posiada wiedzę na temat ewolucyjnych i biologicznych (genetycznych, neurobiologicznych) uwarunkowań osobowości oraz zachowania człowieka.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K_W01, K_W02, K_W03, K_W04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K_W01, K_W02, K_W04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K_W01, K_W02, K_W04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5247"/>
        <w:gridCol w:w="2410"/>
      </w:tblGrid>
      <w:tr>
        <w:trPr>
          <w:trHeight w:val="779" w:hRule="atLeast"/>
        </w:trPr>
        <w:tc>
          <w:tcPr>
            <w:tcW w:w="198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956" w:hRule="atLeast"/>
        </w:trPr>
        <w:tc>
          <w:tcPr>
            <w:tcW w:w="1983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U_01. Student potrafi interpretować zachowania człowieka w kontekście teorii cech, społeczno-poznawczych, poznawczych, socjobiologicznych i narracyjnych z uwzględnieniem wpływu czynników biologicznych, emocjonalno-poznawczych i społeczno-kulturowych.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U_02. Student umie łączyć wiedzę teoretyczną z wynikami badań. Potrafi samodzielnie interpretować wybrane zjawiska życia psychicznego na gruncie różnych teorii, w sposób krytyczny operuje wiedzą, zna jej aplikacje w badaniach i różnych dziedzinach funkcjonowania człowieka.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U_03. Student potrafi dokonywać porównań teorii pod kątem ich możliwości i ograniczeń, oceniać ich wartość, wskazywać ich możliwe zastosowania praktyczne – kliniczne i społeczne.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K_U02, K_U04, K_U05, K_U06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K_U02, K_U05, K_U06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K_U02, K_U04, K_U05, K_U06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5247"/>
        <w:gridCol w:w="2410"/>
      </w:tblGrid>
      <w:tr>
        <w:trPr>
          <w:trHeight w:val="640" w:hRule="atLeast"/>
        </w:trPr>
        <w:tc>
          <w:tcPr>
            <w:tcW w:w="198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Kompetencje społeczne</w:t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824" w:hRule="atLeast"/>
        </w:trPr>
        <w:tc>
          <w:tcPr>
            <w:tcW w:w="1983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K_01.  Student rozumie potrzebę ciągłego rozwoju osobistego i zawodowego i etycznego. Aktywnie kształtuje swoje zasoby osobowościowe, jest gotowy do podejmowania indywidualnych i zespołowych wyzwań zawodowych.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K_02. Student wykazuje postawę dbałości o własne zdrowie psychiczne. Radzi sobie z problemami, rozwija siebie i wspiera rozwój innych wykorzystując wiedzę z zakresu psychologii osobowości. Inspiruje innych do rozwoju. Uznaje wartość pomocy psychologicznej.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K_03. Student jest otwarty na konsultację z innymi psychologami oraz specjalistami innych dziedzin w zakresie psychologii oraz do aktywnego uczestnictwa w grupach i organizacjach realizujących działania psychologiczne, edukacyjne i wychowawcze.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K_K02, K_K03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K_K05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K_K02, K_K03, K_K04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32" w:type="dxa"/>
        <w:jc w:val="left"/>
        <w:tblInd w:w="109" w:type="dxa"/>
        <w:tblLayout w:type="fixed"/>
        <w:tblCellMar>
          <w:top w:w="80" w:type="dxa"/>
          <w:left w:w="125" w:type="dxa"/>
          <w:bottom w:w="80" w:type="dxa"/>
          <w:right w:w="217" w:type="dxa"/>
        </w:tblCellMar>
      </w:tblPr>
      <w:tblGrid>
        <w:gridCol w:w="1608"/>
        <w:gridCol w:w="1224"/>
        <w:gridCol w:w="850"/>
        <w:gridCol w:w="270"/>
        <w:gridCol w:w="863"/>
        <w:gridCol w:w="315"/>
        <w:gridCol w:w="818"/>
        <w:gridCol w:w="283"/>
        <w:gridCol w:w="851"/>
        <w:gridCol w:w="282"/>
        <w:gridCol w:w="852"/>
        <w:gridCol w:w="283"/>
        <w:gridCol w:w="848"/>
        <w:gridCol w:w="284"/>
      </w:tblGrid>
      <w:tr>
        <w:trPr>
          <w:trHeight w:val="320" w:hRule="atLeast"/>
        </w:trPr>
        <w:tc>
          <w:tcPr>
            <w:tcW w:w="9631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ind w:hanging="0" w:left="45" w:right="13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Organizacja</w:t>
            </w:r>
          </w:p>
        </w:tc>
      </w:tr>
      <w:tr>
        <w:trPr>
          <w:trHeight w:val="550" w:hRule="atLeast"/>
        </w:trPr>
        <w:tc>
          <w:tcPr>
            <w:tcW w:w="16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Forma zajęć</w:t>
            </w:r>
          </w:p>
        </w:tc>
        <w:tc>
          <w:tcPr>
            <w:tcW w:w="1224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  <w:p>
            <w:pPr>
              <w:pStyle w:val="Zawartotabeli"/>
              <w:bidi w:val="0"/>
              <w:spacing w:before="57" w:after="57"/>
              <w:ind w:hanging="0" w:left="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(W)</w:t>
            </w:r>
          </w:p>
        </w:tc>
        <w:tc>
          <w:tcPr>
            <w:tcW w:w="6799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grupach</w:t>
            </w:r>
          </w:p>
        </w:tc>
      </w:tr>
      <w:tr>
        <w:trPr>
          <w:trHeight w:val="373" w:hRule="atLeast"/>
        </w:trPr>
        <w:tc>
          <w:tcPr>
            <w:tcW w:w="1608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224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A</w:t>
            </w:r>
          </w:p>
        </w:tc>
        <w:tc>
          <w:tcPr>
            <w:tcW w:w="2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</w:t>
            </w:r>
          </w:p>
        </w:tc>
        <w:tc>
          <w:tcPr>
            <w:tcW w:w="28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4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95" w:hRule="atLeast"/>
        </w:trPr>
        <w:tc>
          <w:tcPr>
            <w:tcW w:w="16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</w:t>
            </w:r>
          </w:p>
        </w:tc>
        <w:tc>
          <w:tcPr>
            <w:tcW w:w="122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117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0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58" w:hRule="atLeast"/>
        </w:trPr>
        <w:tc>
          <w:tcPr>
            <w:tcW w:w="16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  <w:tc>
          <w:tcPr>
            <w:tcW w:w="122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7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0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Opis metod prowadzenia zajęć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1760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Kurs odbywa się w trybie stacjonarnym.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Wykład: wykład interaktywny z wykorzystaniem prezentacji multimedialnej, filmów edukacyjnych, analizy literatury.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Ćwiczenia: prowadzone w formie warsztatowej z wykorzystaniem analizy literatury, studiów przypadków, ćwiczeń indywidualnych i grupowych, prezentacji referatów, dyskusji,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Formy sprawdzania efektów uczenia się</w:t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1" w:type="dxa"/>
        <w:jc w:val="left"/>
        <w:tblInd w:w="109" w:type="dxa"/>
        <w:tblLayout w:type="fixed"/>
        <w:tblCellMar>
          <w:top w:w="80" w:type="dxa"/>
          <w:left w:w="193" w:type="dxa"/>
          <w:bottom w:w="80" w:type="dxa"/>
          <w:right w:w="193" w:type="dxa"/>
        </w:tblCellMar>
      </w:tblPr>
      <w:tblGrid>
        <w:gridCol w:w="962"/>
        <w:gridCol w:w="663"/>
        <w:gridCol w:w="668"/>
        <w:gridCol w:w="667"/>
        <w:gridCol w:w="666"/>
        <w:gridCol w:w="664"/>
        <w:gridCol w:w="667"/>
        <w:gridCol w:w="667"/>
        <w:gridCol w:w="666"/>
        <w:gridCol w:w="564"/>
        <w:gridCol w:w="768"/>
        <w:gridCol w:w="667"/>
        <w:gridCol w:w="667"/>
        <w:gridCol w:w="664"/>
      </w:tblGrid>
      <w:tr>
        <w:trPr>
          <w:trHeight w:val="15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 – learning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Zajęcia terenowe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laboratoryjna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Referat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pisemna (esej)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ustny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pisemny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Inne</w:t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BalloonText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W01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W02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W03</w:t>
            </w:r>
          </w:p>
        </w:tc>
        <w:tc>
          <w:tcPr>
            <w:tcW w:w="66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U01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U02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U03</w:t>
            </w:r>
          </w:p>
        </w:tc>
        <w:tc>
          <w:tcPr>
            <w:tcW w:w="66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K01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K02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K03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832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Zaliczenie ćwiczeń: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1. Obecność na ćwiczeniach (dozwolona jedna nieobecność), przygotowanie do zajęć i lektura zadanej literatury przedmiotu, udział w dyskusjach.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2. Poprawne wykonanie projektu grupowego, referatu.</w:t>
            </w:r>
          </w:p>
          <w:p>
            <w:pPr>
              <w:pStyle w:val="Zawartotabeli"/>
              <w:spacing w:before="57" w:after="57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spacing w:before="57" w:after="57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Zaliczenie wykładu: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Test jednokrotnego wyboru, ocena pozytywna = 60% + 1 pkt.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929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0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  <w:t>Przedmiot kierunkowy na studiach stacjonarnych, jednolitych magisterskich, kierunek: Psychologia.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Treści merytoryczne (wykaz tematów)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76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1. Klasyczne i współczesne koncepcje osobowości w kontekście psychologii jako nauki.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2. Cechowe ujęcia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3. Pięcioczynnikowe modele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4. Biologiczne podstawy osobowości, temperament, osobowość.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5. Behawioryzm i uczeniowe teorie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6. Poznawcze teorie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7. Społeczno-poznawcze teorie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8. Osobowość w kontekście kulturowym i rozwojowym.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9. Współczesne koncepcje psychodynamiczne, humanistyczne, fenomenologiczne i egzystencjalne.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10. Kołowy model metacech i różne rozwiązania czynnikowe.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11. Koncepcje narracyjne i próby syntez.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12. Power Threat Meaning Framework w kontekście osobowości i zaburzeń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13. Koncepcje i klasyfikacje zaburzeń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Stan a cecha (STAI). Cechy w NEO-FFI.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Cechy i aspekty w NEO-PI-R. Studia przypadków.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Prezentacje studentów na wybrane tematy i ich omówienie.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4. Prezentacje studentów na wybrane tematy i ich omówienie.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5. Prezentacje studentów na wybrane tematy i ich omówienie.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Wykaz literatury podstawowej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38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Oleś. P. (2022).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Wprowadzenie do psychologii osobowości</w:t>
            </w:r>
            <w:r>
              <w:rPr>
                <w:rFonts w:cs="Arial" w:ascii="Arial" w:hAnsi="Arial"/>
                <w:sz w:val="20"/>
                <w:szCs w:val="20"/>
              </w:rPr>
              <w:t>. Wydanie nowe. (trzecie) Warszawa: Wydawnictwo Naukowe Scholar. [wskazane rozdziały]</w:t>
            </w:r>
          </w:p>
          <w:p>
            <w:pPr>
              <w:pStyle w:val="Normal"/>
              <w:ind w:hanging="0" w:left="72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Cervone, D., Pervin, L.A. (2011).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Osobowość. Teoria i badania</w:t>
            </w:r>
            <w:r>
              <w:rPr>
                <w:rFonts w:cs="Arial" w:ascii="Arial" w:hAnsi="Arial"/>
                <w:sz w:val="20"/>
                <w:szCs w:val="20"/>
              </w:rPr>
              <w:t>. (wydanie 10). Kraków: Wydawnictwo UJ [wskazane rozdziały]</w:t>
            </w:r>
          </w:p>
          <w:p>
            <w:pPr>
              <w:pStyle w:val="Geenafstand"/>
              <w:ind w:hanging="0" w:left="72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Strelau, J. (2016). Różnice indywidualne. Historia – determinanty – zastosowania. Wydanie drugie [wskazane fragmenty]</w:t>
            </w:r>
          </w:p>
          <w:p>
            <w:pPr>
              <w:pStyle w:val="Normal"/>
              <w:ind w:hanging="0" w:left="36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Siuta, J. (2009). Inwentarz osobowości NEO-PI-R Paula T. Costy i Roberta R. McCrae. Adaptacja polska – Podręcznik. Warszawa: Pracownia Testów Psychologicznych PTP (rozdział 1, 2 i 5).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Jankowski, T., Oleś, M., Bąk, W., Oleś, P. (2009). Przydatność inwentarza NEO-PI-R w diagnozie indywidualnej, W: J. Siuta (red.), </w:t>
            </w:r>
            <w:r>
              <w:rPr>
                <w:rFonts w:cs="Arial" w:ascii="Arial" w:hAnsi="Arial"/>
                <w:i/>
                <w:sz w:val="20"/>
                <w:szCs w:val="20"/>
              </w:rPr>
              <w:t>Diagnoza osobowości. Inwentarz NEO-PI-R w teorii i praktyce</w:t>
            </w:r>
            <w:r>
              <w:rPr>
                <w:rFonts w:cs="Arial" w:ascii="Arial" w:hAnsi="Arial"/>
                <w:sz w:val="20"/>
                <w:szCs w:val="20"/>
              </w:rPr>
              <w:t>, Warszawa: PTP, 113-154.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Stupak, R., &amp; Johnstone, L. (2024). Power Threat Meaning Framework – a brief description of the basic assumptions and context. Psychoterapia, 206(3), 71–84. https://doi.org/10.12740/PT/176251</w:t>
              <w:br/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Artykuły do projektów grupowych, referatów: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Strus, W., Cieciuch, J. (2014). Poza Wielką Piątkę – przegląd nowych modeli struktury osobowości.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Polskie Forum Psychologiczne</w:t>
            </w:r>
            <w:r>
              <w:rPr>
                <w:rFonts w:cs="Arial" w:ascii="Arial" w:hAnsi="Arial"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19</w:t>
            </w:r>
            <w:r>
              <w:rPr>
                <w:rFonts w:cs="Arial" w:ascii="Arial" w:hAnsi="Arial"/>
                <w:sz w:val="20"/>
                <w:szCs w:val="20"/>
              </w:rPr>
              <w:t>(1), 17-49.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Kosinski, M., Stillwell, D., &amp; Graepel, T. (2013). Private traits and attributes are predictable from digital records of human behavior. Proceedings of the National Academy of Sciences, 110(15), 5802–5805. https://doi.org/10.1073/pnas.1218772110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Shaw, C., &amp; Proctor, G. (2005). I. Women at the margins: A critique of the diagnosis of borderline personality disorder. </w:t>
            </w:r>
            <w:r>
              <w:rPr>
                <w:rFonts w:cs="Arial" w:ascii="Arial" w:hAnsi="Arial"/>
                <w:sz w:val="20"/>
                <w:szCs w:val="20"/>
              </w:rPr>
              <w:t>Feminism &amp; Psychology, 15(4), 483–490. https://doi.org/10.1177/0959-353505057620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Furnham, A., Richards, S. C., &amp; Paulhus, D. L. (2013). The dark triad of personality: A 10 year review: dark triad of personality. </w:t>
            </w:r>
            <w:r>
              <w:rPr>
                <w:rFonts w:cs="Arial" w:ascii="Arial" w:hAnsi="Arial"/>
                <w:sz w:val="20"/>
                <w:szCs w:val="20"/>
              </w:rPr>
              <w:t>Social and Personality Psychology Compass, 7(3), 199–216. https://doi.org/10.1111/spc3.12018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Miller, C. E., Townsend, M. L., Day, N. J. S., &amp; Grenyer, B. F. S. (2020). Measuring the shadows: A systematic review of chronic emptiness in borderline personality disorder. </w:t>
            </w:r>
            <w:r>
              <w:rPr>
                <w:rFonts w:cs="Arial" w:ascii="Arial" w:hAnsi="Arial"/>
                <w:sz w:val="20"/>
                <w:szCs w:val="20"/>
              </w:rPr>
              <w:t>PLOS ONE, 15(7), e0233970. https://doi.org/10.1371/journal.pone.0233970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Banicki, K. (2018). Personality disorders and thick concepts. </w:t>
            </w:r>
            <w:r>
              <w:rPr>
                <w:rFonts w:cs="Arial" w:ascii="Arial" w:hAnsi="Arial"/>
                <w:sz w:val="20"/>
                <w:szCs w:val="20"/>
              </w:rPr>
              <w:t>Philosophy, Psychiatry, &amp; Psychology, 25(3), 209–221. https://doi.org/10.1353/ppp.2018.0030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Batory, A., Bąk, W., Oleś, P., &amp; Puchalska-Wasyl, M. (2010).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The dialogical self: Research and applications. </w:t>
            </w:r>
            <w:r>
              <w:rPr>
                <w:rFonts w:cs="Arial" w:ascii="Arial" w:hAnsi="Arial"/>
                <w:sz w:val="20"/>
                <w:szCs w:val="20"/>
              </w:rPr>
              <w:t>Psychology of Language and Communication, 14(1), 45–59. https://doi.org/10.2478/v10057-010-0003-8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>Kim, H., Lee, H., Lo, R. F., Suh, E. M., &amp; Schimmack, U. (2022). Seeing the self through rose-colored glasses: A cross-cultural study of positive illusions using a behavioral approach. PLOS ONE, 17(10), e0274535. https://doi.org/10.1371/journal.pone.0274535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Tang, T. Z., DeRubeis, R. J., Hollon, S. D., Amsterdam, J., Shelton, R., &amp; Schalet, B. (2009). Personality change during depression treatment: A placebo-controlled trial. Archives of General Psychiatry, 66(12), 1322. https://doi.org/10.1001/archgenpsychiatry.2009.166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Rogoza, M., Marchlewska, M., &amp; Szczepańska, D. (2022).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Why dark personalities participate in politics? Personality and Individual Differences, 186, 111319. https://doi.org/10.1016/j.paid.2021.111319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Grzyb, T., &amp; Dolinski, D. (2023). You and I are alike, so I will hold back – The effect of directed empathy on the behavior of participants of Stanley Milgram’s obedience paradigm. Acta Psychologica, 234, 103859. https://doi.org/10.1016/j.actpsy.2023.103859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Joseph, J. (2022). A reevaluation of the 1990 “Minnesota Study of Twins Reared Apart” IQ study. Human Development, 66(1), 48–65. https://doi.org/10.1159/000521922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Liu, C. T. X., Menzies, R. E., &amp; Menzies, R. G. (2023). A systematic review of existential concerns in borderline personality disorder. Journal of Humanistic Psychology, 002216782311657. https://doi.org/10.1177/00221678231165792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Cichocka, A., Marchlewska, M., &amp; Biddlestone, M. (2022). Why do narcissists find conspiracy theories so appealing? Current Opinion in Psychology, 47, 101386. https://doi.org/10.1016/j.copsyc.2022.101386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Pyszczynski, T., Lockett, M., Greenberg, J., &amp; Solomon, S. (2021). Terror management theory and the covid-19 pandemic. Journal of Humanistic Psychology, 61(2), 173–189. https://doi.org/10.1177/0022167820959488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Grzyb, T., Maj, K., &amp; Dolinski, D. (2023). Obedience to robot. Humanoid robot as an experimenter in Milgram paradigm. Computers in Human Behavior: Artificial Humans, 1(2), 100010. https://doi.org/10.1016/j.chbah.2023.100010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Sanz-García, A., Gesteira, C., Sanz, J., &amp; García-Vera, M. P. (2021). Prevalence of psychopathy in the general adult population: A systematic review and meta-analysis. Frontiers in Psychology, 12, 661044. https://doi.org/10.3389/fpsyg.2021.661044</w:t>
            </w:r>
          </w:p>
          <w:p>
            <w:pPr>
              <w:pStyle w:val="Akapitzlist"/>
              <w:spacing w:lineRule="auto" w:line="240" w:before="0" w:after="200"/>
              <w:ind w:hanging="0" w:left="0" w:right="0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Kaufman, S. B., Yaden, D. B., Hyde, E., &amp; Tsukayama, E. (2019). The Light vs. Dark triad of personality: Contrasting two very different profiles of human nature. Frontiers in Psychology, 10, 467. https://doi.org/10.3389/fpsyg.2019.00467</w:t>
              <w:br/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Wykaz literatury uzupełniającej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52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Corr, P. J., &amp; Matthews, G. (Eds.). (2020). The Cambridge handbook of personality psychology. (2nd ed.) Cambridge University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John, O. P., &amp; Robins, R. W. (2021). Handbook of personality: Theory and research (4rd ed). Guilford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McAdams, D. P., Shiner, R. L., &amp; Tackett, J. L. (Eds.). (2019). Handbook of personality development. The Guilford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4. Weiner, I. B., &amp; Greene, R. L. (2017). Handbook of personality assessment (Second edition). John Wiley &amp; Sons, Inc.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5. Vassilieva, J. (2016). Narrative psychology. Palgrave Macmillan UK.</w:t>
            </w:r>
          </w:p>
          <w:p>
            <w:pPr>
              <w:pStyle w:val="Normal"/>
              <w:rPr>
                <w:lang w:val="pl-PL"/>
              </w:rPr>
            </w:pPr>
            <w:r>
              <w:rPr/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BalloonText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BalloonTex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Bilans godzinowy zgodny z CNPS (Całkowity Nakład Pracy Studenta)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58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766"/>
        <w:gridCol w:w="5748"/>
        <w:gridCol w:w="1068"/>
      </w:tblGrid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/>
              <w:spacing w:lineRule="auto" w:line="276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 w kontakcie z prowadzącymi</w:t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Konwersatorium, ćwiczenia, laboratorium, itd.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Pozostałe godziny kontaktu studenta z prowadzącym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/>
              <w:spacing w:lineRule="auto" w:line="276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 pracy studenta bez kontaktu z prowadzącymi</w:t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Lektura w ramach przygotowania do zajęć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>
        <w:trPr>
          <w:trHeight w:val="55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krótkiej pracy pisemnej lub referatu po zapoznaniu się z niezbędną literaturą przedmiotu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projektu lub prezentacji na podany temat (praca w grupie)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do egzaminu/zaliczenia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25</w:t>
            </w:r>
          </w:p>
        </w:tc>
      </w:tr>
      <w:tr>
        <w:trPr>
          <w:trHeight w:val="223" w:hRule="atLeast"/>
        </w:trPr>
        <w:tc>
          <w:tcPr>
            <w:tcW w:w="851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Ogółem bilans czasu pracy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</w:tr>
      <w:tr>
        <w:trPr>
          <w:trHeight w:val="232" w:hRule="atLeast"/>
        </w:trPr>
        <w:tc>
          <w:tcPr>
            <w:tcW w:w="851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punktów ECTS w zależności od przyjętego przelicznika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</w:tbl>
    <w:p>
      <w:pPr>
        <w:pStyle w:val="Normalny"/>
        <w:rPr>
          <w:lang w:val="pl-PL"/>
        </w:rPr>
      </w:pPr>
      <w:r>
        <w:rPr>
          <w:lang w:val="pl-PL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454" w:top="1276" w:footer="709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Helvetica Neue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lang w:val="pl-PL"/>
      </w:rPr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7</w:t>
    </w:r>
    <w:r>
      <w:rPr>
        <w:lang w:val="pl-P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spacing w:before="240" w:after="120"/>
      <w:jc w:val="right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pl-PL" w:eastAsia="en-US" w:bidi="ar-SA"/>
    </w:rPr>
  </w:style>
  <w:style w:type="paragraph" w:styleId="Heading1">
    <w:name w:val="Heading 1"/>
    <w:next w:val="Normalny"/>
    <w:qFormat/>
    <w:pPr>
      <w:keepNext w:val="tru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  <w:outlineLvl w:val="0"/>
    </w:pPr>
    <w:rPr>
      <w:rFonts w:ascii="Verdana" w:hAnsi="Verdan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Nagwek">
    <w:name w:val="Nagłówek"/>
    <w:next w:val="BodyText"/>
    <w:qFormat/>
    <w:pPr>
      <w:keepNext w:val="tru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240" w:afterAutospacing="0" w:after="120"/>
      <w:ind w:hanging="0" w:left="0" w:right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 w:val="false"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Zawartotabeli">
    <w:name w:val="Zawartość tabeli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BalloonText">
    <w:name w:val="Balloon Text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ahoma" w:hAnsi="Tahom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16"/>
      <w:sz w:val="16"/>
      <w:szCs w:val="16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Styltabeli2">
    <w:name w:val="Styl tabeli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Gwkaistopka"/>
    <w:pPr/>
    <w:rPr/>
  </w:style>
  <w:style w:type="paragraph" w:styleId="Akapitzlist">
    <w:name w:val="Akapit z listą"/>
    <w:basedOn w:val="Normal"/>
    <w:qFormat/>
    <w:pPr>
      <w:widowControl/>
      <w:suppressAutoHyphens w:val="false"/>
      <w:spacing w:lineRule="auto" w:line="276" w:before="0" w:after="200"/>
      <w:ind w:hanging="0" w:left="720" w:right="0"/>
    </w:pPr>
    <w:rPr>
      <w:rFonts w:ascii="Calibri" w:hAnsi="Calibri" w:eastAsia="Times New Roman" w:cs="Times New Roman"/>
      <w:sz w:val="22"/>
      <w:szCs w:val="22"/>
    </w:rPr>
  </w:style>
  <w:style w:type="paragraph" w:styleId="Geenafstand">
    <w:name w:val="Geen afstand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pl-PL" w:eastAsia="zh-CN" w:bidi="ar-SA"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LibreOffice/7.6.6.3$Windows_X86_64 LibreOffice_project/d97b2716a9a4a2ce1391dee1765565ea469b0ae7</Application>
  <AppVersion>15.0000</AppVersion>
  <Pages>7</Pages>
  <Words>1513</Words>
  <Characters>10086</Characters>
  <CharactersWithSpaces>11447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2024-11-02T14:44:39Z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